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0F5" w:rsidRPr="00F900F5" w:rsidRDefault="00F900F5" w:rsidP="00F900F5">
      <w:pPr>
        <w:wordWrap w:val="0"/>
        <w:adjustRightInd w:val="0"/>
        <w:snapToGrid w:val="0"/>
        <w:spacing w:afterLines="50" w:after="156" w:line="288" w:lineRule="auto"/>
        <w:jc w:val="center"/>
        <w:outlineLvl w:val="3"/>
        <w:rPr>
          <w:rFonts w:ascii="宋体" w:eastAsia="宋体" w:hAnsi="宋体" w:cs="宋体"/>
          <w:b/>
          <w:bCs/>
          <w:snapToGrid w:val="0"/>
          <w:sz w:val="36"/>
          <w:szCs w:val="21"/>
        </w:rPr>
      </w:pPr>
      <w:r w:rsidRPr="00F900F5">
        <w:rPr>
          <w:rFonts w:ascii="宋体" w:eastAsia="宋体" w:hAnsi="宋体" w:cs="宋体" w:hint="eastAsia"/>
          <w:b/>
          <w:bCs/>
          <w:snapToGrid w:val="0"/>
          <w:sz w:val="36"/>
          <w:szCs w:val="21"/>
        </w:rPr>
        <w:t>评标办法</w:t>
      </w:r>
      <w:bookmarkStart w:id="0" w:name="_GoBack"/>
      <w:bookmarkEnd w:id="0"/>
    </w:p>
    <w:p w:rsidR="00ED4FC2" w:rsidRPr="00ED4FC2" w:rsidRDefault="00ED4FC2" w:rsidP="00ED4FC2">
      <w:pPr>
        <w:keepNext/>
        <w:wordWrap w:val="0"/>
        <w:adjustRightInd w:val="0"/>
        <w:snapToGrid w:val="0"/>
        <w:spacing w:afterLines="50" w:after="156" w:line="288" w:lineRule="auto"/>
        <w:jc w:val="center"/>
        <w:outlineLvl w:val="3"/>
        <w:rPr>
          <w:rFonts w:ascii="宋体" w:eastAsia="宋体" w:hAnsi="宋体" w:cs="宋体"/>
          <w:b/>
          <w:sz w:val="32"/>
          <w:szCs w:val="24"/>
        </w:rPr>
      </w:pPr>
      <w:r w:rsidRPr="00ED4FC2">
        <w:rPr>
          <w:rFonts w:ascii="宋体" w:eastAsia="宋体" w:hAnsi="宋体" w:cs="宋体"/>
          <w:b/>
          <w:sz w:val="32"/>
          <w:szCs w:val="24"/>
        </w:rPr>
        <w:t>评标办法前附表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064"/>
        <w:gridCol w:w="1629"/>
        <w:gridCol w:w="5520"/>
      </w:tblGrid>
      <w:tr w:rsidR="00ED4FC2" w:rsidRPr="00ED4FC2" w:rsidTr="00060905">
        <w:trPr>
          <w:trHeight w:val="485"/>
          <w:tblHeader/>
          <w:jc w:val="center"/>
        </w:trPr>
        <w:tc>
          <w:tcPr>
            <w:tcW w:w="1910" w:type="dxa"/>
            <w:gridSpan w:val="2"/>
            <w:shd w:val="clear" w:color="auto" w:fill="auto"/>
            <w:vAlign w:val="center"/>
          </w:tcPr>
          <w:p w:rsidR="00ED4FC2" w:rsidRPr="00ED4FC2" w:rsidRDefault="00ED4FC2" w:rsidP="00ED4FC2">
            <w:pPr>
              <w:wordWrap w:val="0"/>
              <w:adjustRightInd w:val="0"/>
              <w:snapToGrid w:val="0"/>
              <w:jc w:val="center"/>
              <w:rPr>
                <w:rFonts w:ascii="宋体" w:eastAsia="宋体" w:hAnsi="宋体" w:cs="Times New Roman"/>
                <w:b/>
                <w:sz w:val="22"/>
              </w:rPr>
            </w:pPr>
            <w:r w:rsidRPr="00ED4FC2">
              <w:rPr>
                <w:rFonts w:ascii="宋体" w:eastAsia="宋体" w:hAnsi="宋体" w:cs="Times New Roman" w:hint="eastAsia"/>
                <w:b/>
                <w:sz w:val="22"/>
              </w:rPr>
              <w:t>条款号</w:t>
            </w:r>
          </w:p>
        </w:tc>
        <w:tc>
          <w:tcPr>
            <w:tcW w:w="1629" w:type="dxa"/>
            <w:shd w:val="clear" w:color="auto" w:fill="auto"/>
            <w:vAlign w:val="center"/>
          </w:tcPr>
          <w:p w:rsidR="00ED4FC2" w:rsidRPr="00ED4FC2" w:rsidRDefault="00ED4FC2" w:rsidP="00ED4FC2">
            <w:pPr>
              <w:wordWrap w:val="0"/>
              <w:adjustRightInd w:val="0"/>
              <w:snapToGrid w:val="0"/>
              <w:jc w:val="center"/>
              <w:rPr>
                <w:rFonts w:ascii="宋体" w:eastAsia="宋体" w:hAnsi="宋体" w:cs="Times New Roman"/>
                <w:b/>
                <w:sz w:val="22"/>
              </w:rPr>
            </w:pPr>
            <w:r w:rsidRPr="00ED4FC2">
              <w:rPr>
                <w:rFonts w:ascii="宋体" w:eastAsia="宋体" w:hAnsi="宋体" w:cs="Times New Roman" w:hint="eastAsia"/>
                <w:b/>
                <w:sz w:val="22"/>
              </w:rPr>
              <w:t>评审因素</w:t>
            </w:r>
          </w:p>
        </w:tc>
        <w:tc>
          <w:tcPr>
            <w:tcW w:w="5520" w:type="dxa"/>
            <w:shd w:val="clear" w:color="auto" w:fill="auto"/>
            <w:vAlign w:val="center"/>
          </w:tcPr>
          <w:p w:rsidR="00ED4FC2" w:rsidRPr="00ED4FC2" w:rsidRDefault="00ED4FC2" w:rsidP="00ED4FC2">
            <w:pPr>
              <w:wordWrap w:val="0"/>
              <w:adjustRightInd w:val="0"/>
              <w:snapToGrid w:val="0"/>
              <w:jc w:val="center"/>
              <w:rPr>
                <w:rFonts w:ascii="宋体" w:eastAsia="宋体" w:hAnsi="宋体" w:cs="Times New Roman"/>
                <w:b/>
                <w:sz w:val="22"/>
              </w:rPr>
            </w:pPr>
            <w:r w:rsidRPr="00ED4FC2">
              <w:rPr>
                <w:rFonts w:ascii="宋体" w:eastAsia="宋体" w:hAnsi="宋体" w:cs="Times New Roman" w:hint="eastAsia"/>
                <w:b/>
                <w:sz w:val="22"/>
              </w:rPr>
              <w:t>评审标准</w:t>
            </w:r>
          </w:p>
        </w:tc>
      </w:tr>
      <w:tr w:rsidR="00ED4FC2" w:rsidRPr="00ED4FC2" w:rsidTr="00060905">
        <w:trPr>
          <w:trHeight w:val="20"/>
          <w:jc w:val="center"/>
        </w:trPr>
        <w:tc>
          <w:tcPr>
            <w:tcW w:w="846" w:type="dxa"/>
            <w:vMerge w:val="restart"/>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r w:rsidRPr="00ED4FC2">
              <w:rPr>
                <w:rFonts w:ascii="宋体" w:eastAsia="宋体" w:hAnsi="宋体" w:cs="宋体" w:hint="eastAsia"/>
                <w:sz w:val="22"/>
              </w:rPr>
              <w:t>2.1.1</w:t>
            </w:r>
          </w:p>
        </w:tc>
        <w:tc>
          <w:tcPr>
            <w:tcW w:w="1064" w:type="dxa"/>
            <w:vMerge w:val="restart"/>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r w:rsidRPr="00ED4FC2">
              <w:rPr>
                <w:rFonts w:ascii="宋体" w:eastAsia="宋体" w:hAnsi="宋体" w:cs="宋体" w:hint="eastAsia"/>
                <w:sz w:val="22"/>
              </w:rPr>
              <w:t>形式评审标准</w:t>
            </w:r>
          </w:p>
        </w:tc>
        <w:tc>
          <w:tcPr>
            <w:tcW w:w="1629" w:type="dxa"/>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r w:rsidRPr="00ED4FC2">
              <w:rPr>
                <w:rFonts w:ascii="宋体" w:eastAsia="宋体" w:hAnsi="宋体" w:cs="宋体" w:hint="eastAsia"/>
                <w:sz w:val="22"/>
              </w:rPr>
              <w:t>投标人名称</w:t>
            </w:r>
          </w:p>
        </w:tc>
        <w:tc>
          <w:tcPr>
            <w:tcW w:w="5520" w:type="dxa"/>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r w:rsidRPr="00ED4FC2">
              <w:rPr>
                <w:rFonts w:ascii="宋体" w:eastAsia="宋体" w:hAnsi="宋体" w:cs="宋体" w:hint="eastAsia"/>
                <w:sz w:val="22"/>
              </w:rPr>
              <w:t>与营业执照（或事业单位法人证书）一致。</w:t>
            </w:r>
          </w:p>
        </w:tc>
      </w:tr>
      <w:tr w:rsidR="00ED4FC2" w:rsidRPr="00ED4FC2" w:rsidTr="00060905">
        <w:trPr>
          <w:trHeight w:val="20"/>
          <w:jc w:val="center"/>
        </w:trPr>
        <w:tc>
          <w:tcPr>
            <w:tcW w:w="846" w:type="dxa"/>
            <w:vMerge/>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p>
        </w:tc>
        <w:tc>
          <w:tcPr>
            <w:tcW w:w="1064" w:type="dxa"/>
            <w:vMerge/>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p>
        </w:tc>
        <w:tc>
          <w:tcPr>
            <w:tcW w:w="1629" w:type="dxa"/>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r w:rsidRPr="00ED4FC2">
              <w:rPr>
                <w:rFonts w:ascii="宋体" w:eastAsia="宋体" w:hAnsi="宋体" w:cs="宋体" w:hint="eastAsia"/>
                <w:sz w:val="22"/>
              </w:rPr>
              <w:t>签字盖章</w:t>
            </w:r>
          </w:p>
        </w:tc>
        <w:tc>
          <w:tcPr>
            <w:tcW w:w="5520" w:type="dxa"/>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r w:rsidRPr="00ED4FC2">
              <w:rPr>
                <w:rFonts w:ascii="宋体" w:eastAsia="宋体" w:hAnsi="宋体" w:cs="宋体" w:hint="eastAsia"/>
                <w:sz w:val="22"/>
              </w:rPr>
              <w:t>投标文件主要内容齐全，签字盖章符合招标文件规定。</w:t>
            </w:r>
          </w:p>
        </w:tc>
      </w:tr>
      <w:tr w:rsidR="00ED4FC2" w:rsidRPr="00ED4FC2" w:rsidTr="00060905">
        <w:trPr>
          <w:trHeight w:val="20"/>
          <w:jc w:val="center"/>
        </w:trPr>
        <w:tc>
          <w:tcPr>
            <w:tcW w:w="846" w:type="dxa"/>
            <w:vMerge/>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p>
        </w:tc>
        <w:tc>
          <w:tcPr>
            <w:tcW w:w="1064" w:type="dxa"/>
            <w:vMerge/>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p>
        </w:tc>
        <w:tc>
          <w:tcPr>
            <w:tcW w:w="1629" w:type="dxa"/>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r w:rsidRPr="00ED4FC2">
              <w:rPr>
                <w:rFonts w:ascii="宋体" w:eastAsia="宋体" w:hAnsi="宋体" w:cs="宋体" w:hint="eastAsia"/>
                <w:sz w:val="22"/>
              </w:rPr>
              <w:t>联合体投标人</w:t>
            </w:r>
          </w:p>
        </w:tc>
        <w:tc>
          <w:tcPr>
            <w:tcW w:w="5520" w:type="dxa"/>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r w:rsidRPr="00ED4FC2">
              <w:rPr>
                <w:rFonts w:ascii="宋体" w:eastAsia="宋体" w:hAnsi="宋体" w:cs="宋体" w:hint="eastAsia"/>
                <w:sz w:val="22"/>
              </w:rPr>
              <w:t>不允许</w:t>
            </w:r>
          </w:p>
        </w:tc>
      </w:tr>
      <w:tr w:rsidR="00ED4FC2" w:rsidRPr="00ED4FC2" w:rsidTr="00060905">
        <w:trPr>
          <w:trHeight w:val="20"/>
          <w:jc w:val="center"/>
        </w:trPr>
        <w:tc>
          <w:tcPr>
            <w:tcW w:w="846" w:type="dxa"/>
            <w:vMerge/>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p>
        </w:tc>
        <w:tc>
          <w:tcPr>
            <w:tcW w:w="1064" w:type="dxa"/>
            <w:vMerge/>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p>
        </w:tc>
        <w:tc>
          <w:tcPr>
            <w:tcW w:w="1629" w:type="dxa"/>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r w:rsidRPr="00ED4FC2">
              <w:rPr>
                <w:rFonts w:ascii="宋体" w:eastAsia="宋体" w:hAnsi="宋体" w:cs="宋体" w:hint="eastAsia"/>
                <w:sz w:val="22"/>
              </w:rPr>
              <w:t>备选投标方案</w:t>
            </w:r>
          </w:p>
        </w:tc>
        <w:tc>
          <w:tcPr>
            <w:tcW w:w="5520" w:type="dxa"/>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r w:rsidRPr="00ED4FC2">
              <w:rPr>
                <w:rFonts w:ascii="宋体" w:eastAsia="宋体" w:hAnsi="宋体" w:cs="宋体" w:hint="eastAsia"/>
                <w:sz w:val="22"/>
              </w:rPr>
              <w:t>不允许</w:t>
            </w:r>
          </w:p>
        </w:tc>
      </w:tr>
      <w:tr w:rsidR="00ED4FC2" w:rsidRPr="00ED4FC2" w:rsidTr="00060905">
        <w:trPr>
          <w:trHeight w:val="20"/>
          <w:jc w:val="center"/>
        </w:trPr>
        <w:tc>
          <w:tcPr>
            <w:tcW w:w="846" w:type="dxa"/>
            <w:vMerge/>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p>
        </w:tc>
        <w:tc>
          <w:tcPr>
            <w:tcW w:w="1064" w:type="dxa"/>
            <w:vMerge/>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p>
        </w:tc>
        <w:tc>
          <w:tcPr>
            <w:tcW w:w="1629" w:type="dxa"/>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r w:rsidRPr="00ED4FC2">
              <w:rPr>
                <w:rFonts w:ascii="宋体" w:eastAsia="宋体" w:hAnsi="宋体" w:cs="宋体" w:hint="eastAsia"/>
                <w:sz w:val="22"/>
              </w:rPr>
              <w:t>投标文件格式</w:t>
            </w:r>
          </w:p>
        </w:tc>
        <w:tc>
          <w:tcPr>
            <w:tcW w:w="5520" w:type="dxa"/>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r w:rsidRPr="00ED4FC2">
              <w:rPr>
                <w:rFonts w:ascii="宋体" w:eastAsia="宋体" w:hAnsi="宋体" w:cs="宋体" w:hint="eastAsia"/>
                <w:sz w:val="22"/>
              </w:rPr>
              <w:t>符合第六章“投标文件格式”的规定。</w:t>
            </w:r>
          </w:p>
        </w:tc>
      </w:tr>
      <w:tr w:rsidR="00ED4FC2" w:rsidRPr="00ED4FC2" w:rsidTr="00060905">
        <w:trPr>
          <w:trHeight w:val="20"/>
          <w:jc w:val="center"/>
        </w:trPr>
        <w:tc>
          <w:tcPr>
            <w:tcW w:w="846" w:type="dxa"/>
            <w:vMerge w:val="restart"/>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r w:rsidRPr="00ED4FC2">
              <w:rPr>
                <w:rFonts w:ascii="宋体" w:eastAsia="宋体" w:hAnsi="宋体" w:cs="宋体" w:hint="eastAsia"/>
                <w:sz w:val="22"/>
              </w:rPr>
              <w:t>2.1.2</w:t>
            </w:r>
          </w:p>
        </w:tc>
        <w:tc>
          <w:tcPr>
            <w:tcW w:w="1064" w:type="dxa"/>
            <w:vMerge w:val="restart"/>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r w:rsidRPr="00ED4FC2">
              <w:rPr>
                <w:rFonts w:ascii="宋体" w:eastAsia="宋体" w:hAnsi="宋体" w:cs="宋体" w:hint="eastAsia"/>
                <w:sz w:val="22"/>
              </w:rPr>
              <w:t>响应性评审标准</w:t>
            </w:r>
          </w:p>
        </w:tc>
        <w:tc>
          <w:tcPr>
            <w:tcW w:w="1629" w:type="dxa"/>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r w:rsidRPr="00ED4FC2">
              <w:rPr>
                <w:rFonts w:ascii="宋体" w:eastAsia="宋体" w:hAnsi="宋体" w:cs="宋体" w:hint="eastAsia"/>
                <w:sz w:val="22"/>
              </w:rPr>
              <w:t>投标报价</w:t>
            </w:r>
          </w:p>
        </w:tc>
        <w:tc>
          <w:tcPr>
            <w:tcW w:w="5520" w:type="dxa"/>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r w:rsidRPr="00ED4FC2">
              <w:rPr>
                <w:rFonts w:ascii="宋体" w:eastAsia="宋体" w:hAnsi="宋体" w:cs="宋体" w:hint="eastAsia"/>
                <w:sz w:val="22"/>
              </w:rPr>
              <w:t>投标函上填写的投标报价不高于招标人公布的预算价。</w:t>
            </w:r>
          </w:p>
        </w:tc>
      </w:tr>
      <w:tr w:rsidR="00ED4FC2" w:rsidRPr="00ED4FC2" w:rsidTr="00060905">
        <w:trPr>
          <w:trHeight w:val="20"/>
          <w:jc w:val="center"/>
        </w:trPr>
        <w:tc>
          <w:tcPr>
            <w:tcW w:w="846" w:type="dxa"/>
            <w:vMerge/>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p>
        </w:tc>
        <w:tc>
          <w:tcPr>
            <w:tcW w:w="1064" w:type="dxa"/>
            <w:vMerge/>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p>
        </w:tc>
        <w:tc>
          <w:tcPr>
            <w:tcW w:w="1629" w:type="dxa"/>
            <w:shd w:val="clear" w:color="auto" w:fill="auto"/>
            <w:noWrap/>
            <w:vAlign w:val="center"/>
          </w:tcPr>
          <w:p w:rsidR="00ED4FC2" w:rsidRPr="00ED4FC2" w:rsidRDefault="00ED4FC2" w:rsidP="00ED4FC2">
            <w:pPr>
              <w:wordWrap w:val="0"/>
              <w:adjustRightInd w:val="0"/>
              <w:snapToGrid w:val="0"/>
              <w:jc w:val="left"/>
              <w:rPr>
                <w:rFonts w:ascii="宋体" w:eastAsia="宋体" w:hAnsi="宋体" w:cs="宋体"/>
                <w:sz w:val="22"/>
              </w:rPr>
            </w:pPr>
            <w:r w:rsidRPr="00ED4FC2">
              <w:rPr>
                <w:rFonts w:ascii="宋体" w:eastAsia="宋体" w:hAnsi="宋体" w:cs="宋体" w:hint="eastAsia"/>
                <w:sz w:val="22"/>
              </w:rPr>
              <w:t>投标内容</w:t>
            </w:r>
          </w:p>
        </w:tc>
        <w:tc>
          <w:tcPr>
            <w:tcW w:w="5520" w:type="dxa"/>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r w:rsidRPr="00ED4FC2">
              <w:rPr>
                <w:rFonts w:ascii="宋体" w:eastAsia="宋体" w:hAnsi="宋体" w:cs="宋体" w:hint="eastAsia"/>
                <w:sz w:val="22"/>
              </w:rPr>
              <w:t>符合招标文件要求</w:t>
            </w:r>
          </w:p>
        </w:tc>
      </w:tr>
      <w:tr w:rsidR="00ED4FC2" w:rsidRPr="00ED4FC2" w:rsidTr="00060905">
        <w:trPr>
          <w:trHeight w:val="20"/>
          <w:jc w:val="center"/>
        </w:trPr>
        <w:tc>
          <w:tcPr>
            <w:tcW w:w="846" w:type="dxa"/>
            <w:vMerge/>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p>
        </w:tc>
        <w:tc>
          <w:tcPr>
            <w:tcW w:w="1064" w:type="dxa"/>
            <w:vMerge/>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p>
        </w:tc>
        <w:tc>
          <w:tcPr>
            <w:tcW w:w="1629" w:type="dxa"/>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r w:rsidRPr="00ED4FC2">
              <w:rPr>
                <w:rFonts w:ascii="宋体" w:eastAsia="宋体" w:hAnsi="宋体" w:cs="宋体" w:hint="eastAsia"/>
                <w:sz w:val="22"/>
              </w:rPr>
              <w:t>服务期限</w:t>
            </w:r>
          </w:p>
        </w:tc>
        <w:tc>
          <w:tcPr>
            <w:tcW w:w="5520" w:type="dxa"/>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r w:rsidRPr="00ED4FC2">
              <w:rPr>
                <w:rFonts w:ascii="宋体" w:eastAsia="宋体" w:hAnsi="宋体" w:cs="宋体" w:hint="eastAsia"/>
                <w:sz w:val="22"/>
              </w:rPr>
              <w:t>符合招标文件要求</w:t>
            </w:r>
          </w:p>
        </w:tc>
      </w:tr>
      <w:tr w:rsidR="00ED4FC2" w:rsidRPr="00ED4FC2" w:rsidTr="00060905">
        <w:trPr>
          <w:trHeight w:val="20"/>
          <w:jc w:val="center"/>
        </w:trPr>
        <w:tc>
          <w:tcPr>
            <w:tcW w:w="846" w:type="dxa"/>
            <w:vMerge/>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p>
        </w:tc>
        <w:tc>
          <w:tcPr>
            <w:tcW w:w="1064" w:type="dxa"/>
            <w:vMerge/>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p>
        </w:tc>
        <w:tc>
          <w:tcPr>
            <w:tcW w:w="1629" w:type="dxa"/>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r w:rsidRPr="00ED4FC2">
              <w:rPr>
                <w:rFonts w:ascii="宋体" w:eastAsia="宋体" w:hAnsi="宋体" w:cs="宋体" w:hint="eastAsia"/>
                <w:sz w:val="22"/>
              </w:rPr>
              <w:t>质量标准</w:t>
            </w:r>
          </w:p>
        </w:tc>
        <w:tc>
          <w:tcPr>
            <w:tcW w:w="5520" w:type="dxa"/>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r w:rsidRPr="00ED4FC2">
              <w:rPr>
                <w:rFonts w:ascii="宋体" w:eastAsia="宋体" w:hAnsi="宋体" w:cs="宋体" w:hint="eastAsia"/>
                <w:sz w:val="22"/>
              </w:rPr>
              <w:t>符合招标文件要求</w:t>
            </w:r>
          </w:p>
        </w:tc>
      </w:tr>
      <w:tr w:rsidR="00ED4FC2" w:rsidRPr="00ED4FC2" w:rsidTr="00060905">
        <w:trPr>
          <w:trHeight w:val="20"/>
          <w:jc w:val="center"/>
        </w:trPr>
        <w:tc>
          <w:tcPr>
            <w:tcW w:w="846" w:type="dxa"/>
            <w:vMerge/>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p>
        </w:tc>
        <w:tc>
          <w:tcPr>
            <w:tcW w:w="1064" w:type="dxa"/>
            <w:vMerge/>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p>
        </w:tc>
        <w:tc>
          <w:tcPr>
            <w:tcW w:w="1629" w:type="dxa"/>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r w:rsidRPr="00ED4FC2">
              <w:rPr>
                <w:rFonts w:ascii="宋体" w:eastAsia="宋体" w:hAnsi="宋体" w:cs="宋体" w:hint="eastAsia"/>
                <w:sz w:val="22"/>
              </w:rPr>
              <w:t>投标有效期</w:t>
            </w:r>
          </w:p>
        </w:tc>
        <w:tc>
          <w:tcPr>
            <w:tcW w:w="5520" w:type="dxa"/>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r w:rsidRPr="00ED4FC2">
              <w:rPr>
                <w:rFonts w:ascii="宋体" w:eastAsia="宋体" w:hAnsi="宋体" w:cs="宋体" w:hint="eastAsia"/>
                <w:sz w:val="22"/>
              </w:rPr>
              <w:t>符合招标文件要求</w:t>
            </w:r>
          </w:p>
        </w:tc>
      </w:tr>
      <w:tr w:rsidR="00ED4FC2" w:rsidRPr="00ED4FC2" w:rsidTr="00060905">
        <w:trPr>
          <w:trHeight w:val="20"/>
          <w:jc w:val="center"/>
        </w:trPr>
        <w:tc>
          <w:tcPr>
            <w:tcW w:w="846" w:type="dxa"/>
            <w:vMerge/>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p>
        </w:tc>
        <w:tc>
          <w:tcPr>
            <w:tcW w:w="1064" w:type="dxa"/>
            <w:vMerge/>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p>
        </w:tc>
        <w:tc>
          <w:tcPr>
            <w:tcW w:w="1629" w:type="dxa"/>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r w:rsidRPr="00ED4FC2">
              <w:rPr>
                <w:rFonts w:ascii="宋体" w:eastAsia="宋体" w:hAnsi="宋体" w:cs="宋体" w:hint="eastAsia"/>
                <w:sz w:val="22"/>
              </w:rPr>
              <w:t>其他</w:t>
            </w:r>
          </w:p>
        </w:tc>
        <w:tc>
          <w:tcPr>
            <w:tcW w:w="5520" w:type="dxa"/>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r w:rsidRPr="00ED4FC2">
              <w:rPr>
                <w:rFonts w:ascii="宋体" w:eastAsia="宋体" w:hAnsi="宋体" w:cs="宋体" w:hint="eastAsia"/>
                <w:sz w:val="22"/>
              </w:rPr>
              <w:t>投标人不得进行分包、不存在串通投标情形等</w:t>
            </w:r>
          </w:p>
        </w:tc>
      </w:tr>
      <w:tr w:rsidR="00ED4FC2" w:rsidRPr="00ED4FC2" w:rsidTr="00060905">
        <w:trPr>
          <w:trHeight w:val="20"/>
          <w:jc w:val="center"/>
        </w:trPr>
        <w:tc>
          <w:tcPr>
            <w:tcW w:w="846" w:type="dxa"/>
            <w:vMerge w:val="restart"/>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r w:rsidRPr="00ED4FC2">
              <w:rPr>
                <w:rFonts w:ascii="宋体" w:eastAsia="宋体" w:hAnsi="宋体" w:cs="宋体" w:hint="eastAsia"/>
                <w:sz w:val="22"/>
              </w:rPr>
              <w:t>2.1.3</w:t>
            </w:r>
          </w:p>
        </w:tc>
        <w:tc>
          <w:tcPr>
            <w:tcW w:w="1064" w:type="dxa"/>
            <w:vMerge w:val="restart"/>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r w:rsidRPr="00ED4FC2">
              <w:rPr>
                <w:rFonts w:ascii="宋体" w:eastAsia="宋体" w:hAnsi="宋体" w:cs="宋体" w:hint="eastAsia"/>
                <w:sz w:val="22"/>
              </w:rPr>
              <w:t>资格评审标准</w:t>
            </w:r>
          </w:p>
        </w:tc>
        <w:tc>
          <w:tcPr>
            <w:tcW w:w="1629" w:type="dxa"/>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r w:rsidRPr="00ED4FC2">
              <w:rPr>
                <w:rFonts w:ascii="宋体" w:eastAsia="宋体" w:hAnsi="宋体" w:cs="宋体" w:hint="eastAsia"/>
                <w:sz w:val="22"/>
              </w:rPr>
              <w:t>营业执照或事业单位法人证书</w:t>
            </w:r>
          </w:p>
        </w:tc>
        <w:tc>
          <w:tcPr>
            <w:tcW w:w="5520" w:type="dxa"/>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r w:rsidRPr="00ED4FC2">
              <w:rPr>
                <w:rFonts w:ascii="宋体" w:eastAsia="宋体" w:hAnsi="宋体" w:cs="宋体" w:hint="eastAsia"/>
                <w:sz w:val="22"/>
              </w:rPr>
              <w:t>符合第一章第</w:t>
            </w:r>
            <w:r w:rsidRPr="00ED4FC2">
              <w:rPr>
                <w:rFonts w:ascii="宋体" w:eastAsia="宋体" w:hAnsi="宋体" w:cs="宋体"/>
                <w:sz w:val="22"/>
              </w:rPr>
              <w:t>3.2项规定</w:t>
            </w:r>
          </w:p>
        </w:tc>
      </w:tr>
      <w:tr w:rsidR="00ED4FC2" w:rsidRPr="00ED4FC2" w:rsidTr="00060905">
        <w:trPr>
          <w:trHeight w:val="20"/>
          <w:jc w:val="center"/>
        </w:trPr>
        <w:tc>
          <w:tcPr>
            <w:tcW w:w="846" w:type="dxa"/>
            <w:vMerge/>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p>
        </w:tc>
        <w:tc>
          <w:tcPr>
            <w:tcW w:w="1064" w:type="dxa"/>
            <w:vMerge/>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p>
        </w:tc>
        <w:tc>
          <w:tcPr>
            <w:tcW w:w="1629" w:type="dxa"/>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r w:rsidRPr="00ED4FC2">
              <w:rPr>
                <w:rFonts w:ascii="宋体" w:eastAsia="宋体" w:hAnsi="宋体" w:cs="宋体" w:hint="eastAsia"/>
                <w:sz w:val="22"/>
              </w:rPr>
              <w:t>资质证书</w:t>
            </w:r>
          </w:p>
        </w:tc>
        <w:tc>
          <w:tcPr>
            <w:tcW w:w="5520" w:type="dxa"/>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r w:rsidRPr="00ED4FC2">
              <w:rPr>
                <w:rFonts w:ascii="宋体" w:eastAsia="宋体" w:hAnsi="宋体" w:cs="宋体" w:hint="eastAsia"/>
                <w:sz w:val="22"/>
              </w:rPr>
              <w:t>符合第一章第</w:t>
            </w:r>
            <w:r w:rsidRPr="00ED4FC2">
              <w:rPr>
                <w:rFonts w:ascii="宋体" w:eastAsia="宋体" w:hAnsi="宋体" w:cs="宋体"/>
                <w:sz w:val="22"/>
              </w:rPr>
              <w:t>3.3项规定</w:t>
            </w:r>
          </w:p>
        </w:tc>
      </w:tr>
      <w:tr w:rsidR="00ED4FC2" w:rsidRPr="00ED4FC2" w:rsidTr="00060905">
        <w:trPr>
          <w:trHeight w:val="20"/>
          <w:jc w:val="center"/>
        </w:trPr>
        <w:tc>
          <w:tcPr>
            <w:tcW w:w="846" w:type="dxa"/>
            <w:vMerge/>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p>
        </w:tc>
        <w:tc>
          <w:tcPr>
            <w:tcW w:w="1064" w:type="dxa"/>
            <w:vMerge/>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p>
        </w:tc>
        <w:tc>
          <w:tcPr>
            <w:tcW w:w="1629" w:type="dxa"/>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r w:rsidRPr="00ED4FC2">
              <w:rPr>
                <w:rFonts w:ascii="宋体" w:eastAsia="宋体" w:hAnsi="宋体" w:cs="宋体" w:hint="eastAsia"/>
                <w:sz w:val="22"/>
              </w:rPr>
              <w:t>联合体投标</w:t>
            </w:r>
          </w:p>
        </w:tc>
        <w:tc>
          <w:tcPr>
            <w:tcW w:w="5520" w:type="dxa"/>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r w:rsidRPr="00ED4FC2">
              <w:rPr>
                <w:rFonts w:ascii="宋体" w:eastAsia="宋体" w:hAnsi="宋体" w:cs="宋体" w:hint="eastAsia"/>
                <w:sz w:val="22"/>
              </w:rPr>
              <w:t>本项目不接受联合体投标，符合第一章第</w:t>
            </w:r>
            <w:r w:rsidRPr="00ED4FC2">
              <w:rPr>
                <w:rFonts w:ascii="宋体" w:eastAsia="宋体" w:hAnsi="宋体" w:cs="宋体"/>
                <w:sz w:val="22"/>
              </w:rPr>
              <w:t>3.4项规定。</w:t>
            </w:r>
          </w:p>
        </w:tc>
      </w:tr>
      <w:tr w:rsidR="00ED4FC2" w:rsidRPr="00ED4FC2" w:rsidTr="00060905">
        <w:trPr>
          <w:trHeight w:val="20"/>
          <w:jc w:val="center"/>
        </w:trPr>
        <w:tc>
          <w:tcPr>
            <w:tcW w:w="846" w:type="dxa"/>
            <w:vMerge/>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p>
        </w:tc>
        <w:tc>
          <w:tcPr>
            <w:tcW w:w="1064" w:type="dxa"/>
            <w:vMerge/>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p>
        </w:tc>
        <w:tc>
          <w:tcPr>
            <w:tcW w:w="1629" w:type="dxa"/>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r w:rsidRPr="00ED4FC2">
              <w:rPr>
                <w:rFonts w:ascii="宋体" w:eastAsia="宋体" w:hAnsi="宋体" w:cs="宋体" w:hint="eastAsia"/>
                <w:sz w:val="22"/>
              </w:rPr>
              <w:t>其他要求</w:t>
            </w:r>
          </w:p>
        </w:tc>
        <w:tc>
          <w:tcPr>
            <w:tcW w:w="5520" w:type="dxa"/>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r w:rsidRPr="00ED4FC2">
              <w:rPr>
                <w:rFonts w:ascii="宋体" w:eastAsia="宋体" w:hAnsi="宋体" w:cs="宋体" w:hint="eastAsia"/>
                <w:sz w:val="22"/>
              </w:rPr>
              <w:t>符合第一章第</w:t>
            </w:r>
            <w:r w:rsidRPr="00ED4FC2">
              <w:rPr>
                <w:rFonts w:ascii="宋体" w:eastAsia="宋体" w:hAnsi="宋体" w:cs="宋体"/>
                <w:sz w:val="22"/>
              </w:rPr>
              <w:t>3.5项规定</w:t>
            </w:r>
          </w:p>
        </w:tc>
      </w:tr>
      <w:tr w:rsidR="00ED4FC2" w:rsidRPr="00ED4FC2" w:rsidTr="00060905">
        <w:trPr>
          <w:trHeight w:val="413"/>
          <w:jc w:val="center"/>
        </w:trPr>
        <w:tc>
          <w:tcPr>
            <w:tcW w:w="1910" w:type="dxa"/>
            <w:gridSpan w:val="2"/>
            <w:shd w:val="clear" w:color="auto" w:fill="auto"/>
            <w:vAlign w:val="center"/>
          </w:tcPr>
          <w:p w:rsidR="00ED4FC2" w:rsidRPr="00ED4FC2" w:rsidRDefault="00ED4FC2" w:rsidP="00ED4FC2">
            <w:pPr>
              <w:wordWrap w:val="0"/>
              <w:adjustRightInd w:val="0"/>
              <w:snapToGrid w:val="0"/>
              <w:jc w:val="center"/>
              <w:rPr>
                <w:rFonts w:ascii="宋体" w:eastAsia="宋体" w:hAnsi="宋体" w:cs="宋体"/>
                <w:b/>
                <w:sz w:val="22"/>
              </w:rPr>
            </w:pPr>
            <w:r w:rsidRPr="00ED4FC2">
              <w:rPr>
                <w:rFonts w:ascii="宋体" w:eastAsia="宋体" w:hAnsi="宋体" w:cs="宋体" w:hint="eastAsia"/>
                <w:b/>
                <w:sz w:val="22"/>
              </w:rPr>
              <w:t>条款号</w:t>
            </w:r>
          </w:p>
        </w:tc>
        <w:tc>
          <w:tcPr>
            <w:tcW w:w="1629" w:type="dxa"/>
            <w:shd w:val="clear" w:color="auto" w:fill="auto"/>
            <w:vAlign w:val="center"/>
          </w:tcPr>
          <w:p w:rsidR="00ED4FC2" w:rsidRPr="00ED4FC2" w:rsidRDefault="00ED4FC2" w:rsidP="00ED4FC2">
            <w:pPr>
              <w:wordWrap w:val="0"/>
              <w:adjustRightInd w:val="0"/>
              <w:snapToGrid w:val="0"/>
              <w:jc w:val="center"/>
              <w:rPr>
                <w:rFonts w:ascii="宋体" w:eastAsia="宋体" w:hAnsi="宋体" w:cs="宋体"/>
                <w:b/>
                <w:sz w:val="22"/>
              </w:rPr>
            </w:pPr>
            <w:r w:rsidRPr="00ED4FC2">
              <w:rPr>
                <w:rFonts w:ascii="宋体" w:eastAsia="宋体" w:hAnsi="宋体" w:cs="宋体" w:hint="eastAsia"/>
                <w:b/>
                <w:sz w:val="22"/>
              </w:rPr>
              <w:t>评审因素</w:t>
            </w:r>
          </w:p>
        </w:tc>
        <w:tc>
          <w:tcPr>
            <w:tcW w:w="5520" w:type="dxa"/>
            <w:shd w:val="clear" w:color="auto" w:fill="auto"/>
            <w:vAlign w:val="center"/>
          </w:tcPr>
          <w:p w:rsidR="00ED4FC2" w:rsidRPr="00ED4FC2" w:rsidRDefault="00ED4FC2" w:rsidP="00ED4FC2">
            <w:pPr>
              <w:wordWrap w:val="0"/>
              <w:adjustRightInd w:val="0"/>
              <w:snapToGrid w:val="0"/>
              <w:jc w:val="center"/>
              <w:rPr>
                <w:rFonts w:ascii="宋体" w:eastAsia="宋体" w:hAnsi="宋体" w:cs="宋体"/>
                <w:b/>
                <w:sz w:val="22"/>
              </w:rPr>
            </w:pPr>
            <w:r w:rsidRPr="00ED4FC2">
              <w:rPr>
                <w:rFonts w:ascii="宋体" w:eastAsia="宋体" w:hAnsi="宋体" w:cs="宋体" w:hint="eastAsia"/>
                <w:b/>
                <w:sz w:val="22"/>
              </w:rPr>
              <w:t>评审标准</w:t>
            </w:r>
          </w:p>
        </w:tc>
      </w:tr>
      <w:tr w:rsidR="00ED4FC2" w:rsidRPr="00ED4FC2" w:rsidTr="00060905">
        <w:trPr>
          <w:trHeight w:val="20"/>
          <w:jc w:val="center"/>
        </w:trPr>
        <w:tc>
          <w:tcPr>
            <w:tcW w:w="846" w:type="dxa"/>
            <w:vMerge w:val="restart"/>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r w:rsidRPr="00ED4FC2">
              <w:rPr>
                <w:rFonts w:ascii="宋体" w:eastAsia="宋体" w:hAnsi="宋体" w:cs="宋体" w:hint="eastAsia"/>
                <w:sz w:val="22"/>
              </w:rPr>
              <w:t>2.2.1</w:t>
            </w:r>
          </w:p>
        </w:tc>
        <w:tc>
          <w:tcPr>
            <w:tcW w:w="1064" w:type="dxa"/>
            <w:vMerge w:val="restart"/>
            <w:shd w:val="clear" w:color="auto" w:fill="auto"/>
            <w:vAlign w:val="center"/>
          </w:tcPr>
          <w:p w:rsidR="00ED4FC2" w:rsidRPr="00ED4FC2" w:rsidRDefault="00ED4FC2" w:rsidP="00ED4FC2">
            <w:pPr>
              <w:wordWrap w:val="0"/>
              <w:adjustRightInd w:val="0"/>
              <w:snapToGrid w:val="0"/>
              <w:rPr>
                <w:rFonts w:ascii="宋体" w:eastAsia="宋体" w:hAnsi="宋体" w:cs="宋体"/>
                <w:sz w:val="22"/>
              </w:rPr>
            </w:pPr>
            <w:r w:rsidRPr="00ED4FC2">
              <w:rPr>
                <w:rFonts w:ascii="宋体" w:eastAsia="宋体" w:hAnsi="宋体" w:cs="宋体" w:hint="eastAsia"/>
                <w:sz w:val="22"/>
              </w:rPr>
              <w:t>详细评审（1</w:t>
            </w:r>
            <w:r w:rsidRPr="00ED4FC2">
              <w:rPr>
                <w:rFonts w:ascii="宋体" w:eastAsia="宋体" w:hAnsi="宋体" w:cs="宋体"/>
                <w:sz w:val="22"/>
              </w:rPr>
              <w:t>00</w:t>
            </w:r>
            <w:r w:rsidRPr="00ED4FC2">
              <w:rPr>
                <w:rFonts w:ascii="宋体" w:eastAsia="宋体" w:hAnsi="宋体" w:cs="宋体" w:hint="eastAsia"/>
                <w:sz w:val="22"/>
              </w:rPr>
              <w:t>分）</w:t>
            </w:r>
          </w:p>
        </w:tc>
        <w:tc>
          <w:tcPr>
            <w:tcW w:w="1629" w:type="dxa"/>
            <w:shd w:val="clear" w:color="auto" w:fill="auto"/>
            <w:vAlign w:val="center"/>
          </w:tcPr>
          <w:p w:rsidR="00ED4FC2" w:rsidRPr="00ED4FC2" w:rsidRDefault="00ED4FC2" w:rsidP="00ED4FC2">
            <w:pPr>
              <w:wordWrap w:val="0"/>
              <w:adjustRightInd w:val="0"/>
              <w:snapToGrid w:val="0"/>
              <w:rPr>
                <w:rFonts w:ascii="宋体" w:eastAsia="宋体" w:hAnsi="宋体" w:cs="宋体"/>
                <w:sz w:val="22"/>
              </w:rPr>
            </w:pPr>
            <w:r w:rsidRPr="00ED4FC2">
              <w:rPr>
                <w:rFonts w:ascii="宋体" w:eastAsia="宋体" w:hAnsi="宋体" w:cs="Times New Roman" w:hint="eastAsia"/>
                <w:sz w:val="22"/>
              </w:rPr>
              <w:t>质量管理水平（</w:t>
            </w:r>
            <w:r w:rsidRPr="00ED4FC2">
              <w:rPr>
                <w:rFonts w:ascii="宋体" w:eastAsia="宋体" w:hAnsi="宋体" w:cs="Times New Roman"/>
                <w:sz w:val="22"/>
              </w:rPr>
              <w:t>40分）</w:t>
            </w:r>
          </w:p>
        </w:tc>
        <w:tc>
          <w:tcPr>
            <w:tcW w:w="5520" w:type="dxa"/>
            <w:shd w:val="clear" w:color="auto" w:fill="auto"/>
            <w:vAlign w:val="center"/>
          </w:tcPr>
          <w:p w:rsidR="00ED4FC2" w:rsidRPr="00ED4FC2" w:rsidRDefault="00ED4FC2" w:rsidP="00ED4FC2">
            <w:pPr>
              <w:wordWrap w:val="0"/>
              <w:adjustRightInd w:val="0"/>
              <w:snapToGrid w:val="0"/>
              <w:jc w:val="left"/>
              <w:rPr>
                <w:rFonts w:ascii="宋体" w:eastAsia="宋体" w:hAnsi="宋体" w:cs="Times New Roman"/>
                <w:sz w:val="22"/>
              </w:rPr>
            </w:pPr>
            <w:r w:rsidRPr="00ED4FC2">
              <w:rPr>
                <w:rFonts w:ascii="宋体" w:eastAsia="宋体" w:hAnsi="宋体" w:cs="Times New Roman" w:hint="eastAsia"/>
                <w:sz w:val="22"/>
              </w:rPr>
              <w:t>评审投标人针对本项目的质量管理制度及实施情况，包括项目咨询、意见分歧解决、项目质量复核、项目质量检查、质量管理缺陷识别与整改等方面的政策与程序。</w:t>
            </w:r>
          </w:p>
          <w:p w:rsidR="00ED4FC2" w:rsidRPr="00ED4FC2" w:rsidRDefault="00ED4FC2" w:rsidP="00ED4FC2">
            <w:pPr>
              <w:wordWrap w:val="0"/>
              <w:adjustRightInd w:val="0"/>
              <w:snapToGrid w:val="0"/>
              <w:jc w:val="left"/>
              <w:rPr>
                <w:rFonts w:ascii="宋体" w:eastAsia="宋体" w:hAnsi="宋体" w:cs="Times New Roman"/>
                <w:sz w:val="22"/>
              </w:rPr>
            </w:pPr>
            <w:r w:rsidRPr="00ED4FC2">
              <w:rPr>
                <w:rFonts w:ascii="宋体" w:eastAsia="宋体" w:hAnsi="宋体" w:cs="Times New Roman" w:hint="eastAsia"/>
                <w:sz w:val="22"/>
              </w:rPr>
              <w:t>根据投标人编制的质量管理制度及实施情况的规范性、完整性、适用性等方便进行评审：</w:t>
            </w:r>
          </w:p>
          <w:p w:rsidR="00ED4FC2" w:rsidRPr="00ED4FC2" w:rsidRDefault="00ED4FC2" w:rsidP="00ED4FC2">
            <w:pPr>
              <w:wordWrap w:val="0"/>
              <w:adjustRightInd w:val="0"/>
              <w:snapToGrid w:val="0"/>
              <w:rPr>
                <w:rFonts w:ascii="宋体" w:eastAsia="宋体" w:hAnsi="宋体" w:cs="宋体"/>
                <w:sz w:val="22"/>
              </w:rPr>
            </w:pPr>
            <w:r w:rsidRPr="00ED4FC2">
              <w:rPr>
                <w:rFonts w:ascii="宋体" w:eastAsia="宋体" w:hAnsi="宋体" w:cs="Times New Roman" w:hint="eastAsia"/>
                <w:sz w:val="22"/>
              </w:rPr>
              <w:t>优，得</w:t>
            </w:r>
            <w:r w:rsidRPr="00ED4FC2">
              <w:rPr>
                <w:rFonts w:ascii="宋体" w:eastAsia="宋体" w:hAnsi="宋体" w:cs="Times New Roman"/>
                <w:sz w:val="22"/>
              </w:rPr>
              <w:t>40</w:t>
            </w:r>
            <w:r w:rsidRPr="00ED4FC2">
              <w:rPr>
                <w:rFonts w:ascii="宋体" w:eastAsia="宋体" w:hAnsi="宋体" w:cs="Times New Roman" w:hint="eastAsia"/>
                <w:sz w:val="22"/>
              </w:rPr>
              <w:t>分；良好，得</w:t>
            </w:r>
            <w:r w:rsidRPr="00ED4FC2">
              <w:rPr>
                <w:rFonts w:ascii="宋体" w:eastAsia="宋体" w:hAnsi="宋体" w:cs="Times New Roman"/>
                <w:sz w:val="22"/>
              </w:rPr>
              <w:t>25</w:t>
            </w:r>
            <w:r w:rsidRPr="00ED4FC2">
              <w:rPr>
                <w:rFonts w:ascii="宋体" w:eastAsia="宋体" w:hAnsi="宋体" w:cs="Times New Roman" w:hint="eastAsia"/>
                <w:sz w:val="22"/>
              </w:rPr>
              <w:t>分；一般，得</w:t>
            </w:r>
            <w:r w:rsidRPr="00ED4FC2">
              <w:rPr>
                <w:rFonts w:ascii="宋体" w:eastAsia="宋体" w:hAnsi="宋体" w:cs="Times New Roman"/>
                <w:sz w:val="22"/>
              </w:rPr>
              <w:t>10</w:t>
            </w:r>
            <w:r w:rsidRPr="00ED4FC2">
              <w:rPr>
                <w:rFonts w:ascii="宋体" w:eastAsia="宋体" w:hAnsi="宋体" w:cs="Times New Roman" w:hint="eastAsia"/>
                <w:sz w:val="22"/>
              </w:rPr>
              <w:t>分；较差或无得</w:t>
            </w:r>
            <w:r w:rsidRPr="00ED4FC2">
              <w:rPr>
                <w:rFonts w:ascii="宋体" w:eastAsia="宋体" w:hAnsi="宋体" w:cs="Times New Roman"/>
                <w:sz w:val="22"/>
              </w:rPr>
              <w:t>0分。</w:t>
            </w:r>
          </w:p>
        </w:tc>
      </w:tr>
      <w:tr w:rsidR="00ED4FC2" w:rsidRPr="00ED4FC2" w:rsidTr="00060905">
        <w:trPr>
          <w:trHeight w:val="20"/>
          <w:jc w:val="center"/>
        </w:trPr>
        <w:tc>
          <w:tcPr>
            <w:tcW w:w="846" w:type="dxa"/>
            <w:vMerge/>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p>
        </w:tc>
        <w:tc>
          <w:tcPr>
            <w:tcW w:w="1064" w:type="dxa"/>
            <w:vMerge/>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p>
        </w:tc>
        <w:tc>
          <w:tcPr>
            <w:tcW w:w="1629" w:type="dxa"/>
            <w:shd w:val="clear" w:color="auto" w:fill="auto"/>
            <w:vAlign w:val="center"/>
          </w:tcPr>
          <w:p w:rsidR="00ED4FC2" w:rsidRPr="00ED4FC2" w:rsidRDefault="00ED4FC2" w:rsidP="00ED4FC2">
            <w:pPr>
              <w:wordWrap w:val="0"/>
              <w:adjustRightInd w:val="0"/>
              <w:snapToGrid w:val="0"/>
              <w:rPr>
                <w:rFonts w:ascii="宋体" w:eastAsia="宋体" w:hAnsi="宋体" w:cs="宋体"/>
                <w:sz w:val="22"/>
              </w:rPr>
            </w:pPr>
            <w:r w:rsidRPr="00ED4FC2">
              <w:rPr>
                <w:rFonts w:ascii="宋体" w:eastAsia="宋体" w:hAnsi="宋体" w:cs="Times New Roman" w:hint="eastAsia"/>
                <w:sz w:val="22"/>
              </w:rPr>
              <w:t>工作方案（</w:t>
            </w:r>
            <w:r w:rsidRPr="00ED4FC2">
              <w:rPr>
                <w:rFonts w:ascii="宋体" w:eastAsia="宋体" w:hAnsi="宋体" w:cs="Times New Roman"/>
                <w:sz w:val="22"/>
              </w:rPr>
              <w:t>5分）</w:t>
            </w:r>
          </w:p>
        </w:tc>
        <w:tc>
          <w:tcPr>
            <w:tcW w:w="5520" w:type="dxa"/>
            <w:shd w:val="clear" w:color="auto" w:fill="auto"/>
            <w:vAlign w:val="center"/>
          </w:tcPr>
          <w:p w:rsidR="00ED4FC2" w:rsidRPr="00ED4FC2" w:rsidRDefault="00ED4FC2" w:rsidP="00ED4FC2">
            <w:pPr>
              <w:wordWrap w:val="0"/>
              <w:adjustRightInd w:val="0"/>
              <w:snapToGrid w:val="0"/>
              <w:jc w:val="left"/>
              <w:rPr>
                <w:rFonts w:ascii="宋体" w:eastAsia="宋体" w:hAnsi="宋体" w:cs="Times New Roman"/>
                <w:sz w:val="22"/>
              </w:rPr>
            </w:pPr>
            <w:r w:rsidRPr="00ED4FC2">
              <w:rPr>
                <w:rFonts w:ascii="宋体" w:eastAsia="宋体" w:hAnsi="宋体" w:cs="Times New Roman" w:hint="eastAsia"/>
                <w:sz w:val="22"/>
              </w:rPr>
              <w:t>评审投标人提供的工作方案，工作方案的内容包括但不限于：明确审计要求、按时保质完成审计工作（包括但不仅限于审计报告、管理建议书）等。</w:t>
            </w:r>
          </w:p>
          <w:p w:rsidR="00ED4FC2" w:rsidRPr="00ED4FC2" w:rsidRDefault="00ED4FC2" w:rsidP="00ED4FC2">
            <w:pPr>
              <w:wordWrap w:val="0"/>
              <w:adjustRightInd w:val="0"/>
              <w:snapToGrid w:val="0"/>
              <w:jc w:val="left"/>
              <w:rPr>
                <w:rFonts w:ascii="宋体" w:eastAsia="宋体" w:hAnsi="宋体" w:cs="Times New Roman"/>
                <w:sz w:val="22"/>
              </w:rPr>
            </w:pPr>
            <w:r w:rsidRPr="00ED4FC2">
              <w:rPr>
                <w:rFonts w:ascii="宋体" w:eastAsia="宋体" w:hAnsi="宋体" w:cs="Times New Roman" w:hint="eastAsia"/>
                <w:sz w:val="22"/>
              </w:rPr>
              <w:t>根据投标人编制的工作方案规范性、可行性、完整性进行评审：</w:t>
            </w:r>
          </w:p>
          <w:p w:rsidR="00ED4FC2" w:rsidRPr="00ED4FC2" w:rsidRDefault="00ED4FC2" w:rsidP="00ED4FC2">
            <w:pPr>
              <w:wordWrap w:val="0"/>
              <w:adjustRightInd w:val="0"/>
              <w:snapToGrid w:val="0"/>
              <w:rPr>
                <w:rFonts w:ascii="宋体" w:eastAsia="宋体" w:hAnsi="宋体" w:cs="宋体"/>
                <w:sz w:val="22"/>
              </w:rPr>
            </w:pPr>
            <w:r w:rsidRPr="00ED4FC2">
              <w:rPr>
                <w:rFonts w:ascii="宋体" w:eastAsia="宋体" w:hAnsi="宋体" w:cs="Times New Roman" w:hint="eastAsia"/>
                <w:sz w:val="22"/>
              </w:rPr>
              <w:t>优，得</w:t>
            </w:r>
            <w:r w:rsidRPr="00ED4FC2">
              <w:rPr>
                <w:rFonts w:ascii="宋体" w:eastAsia="宋体" w:hAnsi="宋体" w:cs="Times New Roman"/>
                <w:sz w:val="22"/>
              </w:rPr>
              <w:t>5</w:t>
            </w:r>
            <w:r w:rsidRPr="00ED4FC2">
              <w:rPr>
                <w:rFonts w:ascii="宋体" w:eastAsia="宋体" w:hAnsi="宋体" w:cs="Times New Roman" w:hint="eastAsia"/>
                <w:sz w:val="22"/>
              </w:rPr>
              <w:t>分；良好，得</w:t>
            </w:r>
            <w:r w:rsidRPr="00ED4FC2">
              <w:rPr>
                <w:rFonts w:ascii="宋体" w:eastAsia="宋体" w:hAnsi="宋体" w:cs="Times New Roman"/>
                <w:sz w:val="22"/>
              </w:rPr>
              <w:t>3</w:t>
            </w:r>
            <w:r w:rsidRPr="00ED4FC2">
              <w:rPr>
                <w:rFonts w:ascii="宋体" w:eastAsia="宋体" w:hAnsi="宋体" w:cs="Times New Roman" w:hint="eastAsia"/>
                <w:sz w:val="22"/>
              </w:rPr>
              <w:t>分；一般，得</w:t>
            </w:r>
            <w:r w:rsidRPr="00ED4FC2">
              <w:rPr>
                <w:rFonts w:ascii="宋体" w:eastAsia="宋体" w:hAnsi="宋体" w:cs="Times New Roman"/>
                <w:sz w:val="22"/>
              </w:rPr>
              <w:t>1</w:t>
            </w:r>
            <w:r w:rsidRPr="00ED4FC2">
              <w:rPr>
                <w:rFonts w:ascii="宋体" w:eastAsia="宋体" w:hAnsi="宋体" w:cs="Times New Roman" w:hint="eastAsia"/>
                <w:sz w:val="22"/>
              </w:rPr>
              <w:t>分；较差或无得</w:t>
            </w:r>
            <w:r w:rsidRPr="00ED4FC2">
              <w:rPr>
                <w:rFonts w:ascii="宋体" w:eastAsia="宋体" w:hAnsi="宋体" w:cs="Times New Roman"/>
                <w:sz w:val="22"/>
              </w:rPr>
              <w:t>0分。</w:t>
            </w:r>
          </w:p>
        </w:tc>
      </w:tr>
      <w:tr w:rsidR="00ED4FC2" w:rsidRPr="00ED4FC2" w:rsidTr="00060905">
        <w:trPr>
          <w:trHeight w:val="20"/>
          <w:jc w:val="center"/>
        </w:trPr>
        <w:tc>
          <w:tcPr>
            <w:tcW w:w="846" w:type="dxa"/>
            <w:vMerge/>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p>
        </w:tc>
        <w:tc>
          <w:tcPr>
            <w:tcW w:w="1064" w:type="dxa"/>
            <w:vMerge/>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p>
        </w:tc>
        <w:tc>
          <w:tcPr>
            <w:tcW w:w="1629" w:type="dxa"/>
            <w:shd w:val="clear" w:color="auto" w:fill="auto"/>
            <w:vAlign w:val="center"/>
          </w:tcPr>
          <w:p w:rsidR="00ED4FC2" w:rsidRPr="00ED4FC2" w:rsidRDefault="00ED4FC2" w:rsidP="00ED4FC2">
            <w:pPr>
              <w:wordWrap w:val="0"/>
              <w:adjustRightInd w:val="0"/>
              <w:snapToGrid w:val="0"/>
              <w:rPr>
                <w:rFonts w:ascii="宋体" w:eastAsia="宋体" w:hAnsi="宋体" w:cs="宋体"/>
                <w:sz w:val="22"/>
              </w:rPr>
            </w:pPr>
            <w:r w:rsidRPr="00ED4FC2">
              <w:rPr>
                <w:rFonts w:ascii="宋体" w:eastAsia="宋体" w:hAnsi="宋体" w:cs="Times New Roman" w:hint="eastAsia"/>
                <w:sz w:val="22"/>
              </w:rPr>
              <w:t>信息安全管理（</w:t>
            </w:r>
            <w:r w:rsidRPr="00ED4FC2">
              <w:rPr>
                <w:rFonts w:ascii="宋体" w:eastAsia="宋体" w:hAnsi="宋体" w:cs="Times New Roman"/>
                <w:sz w:val="22"/>
              </w:rPr>
              <w:t>4分）</w:t>
            </w:r>
          </w:p>
        </w:tc>
        <w:tc>
          <w:tcPr>
            <w:tcW w:w="5520" w:type="dxa"/>
            <w:shd w:val="clear" w:color="auto" w:fill="auto"/>
            <w:vAlign w:val="center"/>
          </w:tcPr>
          <w:p w:rsidR="00ED4FC2" w:rsidRPr="00ED4FC2" w:rsidRDefault="00ED4FC2" w:rsidP="00ED4FC2">
            <w:pPr>
              <w:wordWrap w:val="0"/>
              <w:adjustRightInd w:val="0"/>
              <w:snapToGrid w:val="0"/>
              <w:jc w:val="left"/>
              <w:rPr>
                <w:rFonts w:ascii="宋体" w:eastAsia="宋体" w:hAnsi="宋体" w:cs="Times New Roman"/>
                <w:sz w:val="22"/>
              </w:rPr>
            </w:pPr>
            <w:r w:rsidRPr="00ED4FC2">
              <w:rPr>
                <w:rFonts w:ascii="宋体" w:eastAsia="宋体" w:hAnsi="宋体" w:cs="Times New Roman" w:hint="eastAsia"/>
                <w:sz w:val="22"/>
              </w:rPr>
              <w:t>评审投标人的信息安全管理相关制度、安全保护责任和要求、资料涉密敏感信息的管控、防范信息泄露风险的措施。</w:t>
            </w:r>
          </w:p>
          <w:p w:rsidR="00ED4FC2" w:rsidRPr="00ED4FC2" w:rsidRDefault="00ED4FC2" w:rsidP="00ED4FC2">
            <w:pPr>
              <w:wordWrap w:val="0"/>
              <w:adjustRightInd w:val="0"/>
              <w:snapToGrid w:val="0"/>
              <w:jc w:val="left"/>
              <w:rPr>
                <w:rFonts w:ascii="宋体" w:eastAsia="宋体" w:hAnsi="宋体" w:cs="Times New Roman"/>
                <w:sz w:val="22"/>
              </w:rPr>
            </w:pPr>
            <w:r w:rsidRPr="00ED4FC2">
              <w:rPr>
                <w:rFonts w:ascii="宋体" w:eastAsia="宋体" w:hAnsi="宋体" w:cs="Times New Roman" w:hint="eastAsia"/>
                <w:sz w:val="22"/>
              </w:rPr>
              <w:t>据投标人的信息安全管理工作的合理性、可行性、完整性进行评审：</w:t>
            </w:r>
          </w:p>
          <w:p w:rsidR="00ED4FC2" w:rsidRPr="00ED4FC2" w:rsidRDefault="00ED4FC2" w:rsidP="00ED4FC2">
            <w:pPr>
              <w:wordWrap w:val="0"/>
              <w:adjustRightInd w:val="0"/>
              <w:snapToGrid w:val="0"/>
              <w:rPr>
                <w:rFonts w:ascii="宋体" w:eastAsia="宋体" w:hAnsi="宋体" w:cs="宋体"/>
                <w:sz w:val="22"/>
              </w:rPr>
            </w:pPr>
            <w:r w:rsidRPr="00ED4FC2">
              <w:rPr>
                <w:rFonts w:ascii="宋体" w:eastAsia="宋体" w:hAnsi="宋体" w:cs="Times New Roman" w:hint="eastAsia"/>
                <w:sz w:val="22"/>
              </w:rPr>
              <w:t>优，得</w:t>
            </w:r>
            <w:r w:rsidRPr="00ED4FC2">
              <w:rPr>
                <w:rFonts w:ascii="宋体" w:eastAsia="宋体" w:hAnsi="宋体" w:cs="Times New Roman"/>
                <w:sz w:val="22"/>
              </w:rPr>
              <w:t>4</w:t>
            </w:r>
            <w:r w:rsidRPr="00ED4FC2">
              <w:rPr>
                <w:rFonts w:ascii="宋体" w:eastAsia="宋体" w:hAnsi="宋体" w:cs="Times New Roman" w:hint="eastAsia"/>
                <w:sz w:val="22"/>
              </w:rPr>
              <w:t>分；良好，得</w:t>
            </w:r>
            <w:r w:rsidRPr="00ED4FC2">
              <w:rPr>
                <w:rFonts w:ascii="宋体" w:eastAsia="宋体" w:hAnsi="宋体" w:cs="Times New Roman"/>
                <w:sz w:val="22"/>
              </w:rPr>
              <w:t>2</w:t>
            </w:r>
            <w:r w:rsidRPr="00ED4FC2">
              <w:rPr>
                <w:rFonts w:ascii="宋体" w:eastAsia="宋体" w:hAnsi="宋体" w:cs="Times New Roman" w:hint="eastAsia"/>
                <w:sz w:val="22"/>
              </w:rPr>
              <w:t>分；一般，得</w:t>
            </w:r>
            <w:r w:rsidRPr="00ED4FC2">
              <w:rPr>
                <w:rFonts w:ascii="宋体" w:eastAsia="宋体" w:hAnsi="宋体" w:cs="Times New Roman"/>
                <w:sz w:val="22"/>
              </w:rPr>
              <w:t>1</w:t>
            </w:r>
            <w:r w:rsidRPr="00ED4FC2">
              <w:rPr>
                <w:rFonts w:ascii="宋体" w:eastAsia="宋体" w:hAnsi="宋体" w:cs="Times New Roman" w:hint="eastAsia"/>
                <w:sz w:val="22"/>
              </w:rPr>
              <w:t>分；较差或无得</w:t>
            </w:r>
            <w:r w:rsidRPr="00ED4FC2">
              <w:rPr>
                <w:rFonts w:ascii="宋体" w:eastAsia="宋体" w:hAnsi="宋体" w:cs="Times New Roman"/>
                <w:sz w:val="22"/>
              </w:rPr>
              <w:t>0分。</w:t>
            </w:r>
          </w:p>
        </w:tc>
      </w:tr>
      <w:tr w:rsidR="00ED4FC2" w:rsidRPr="00ED4FC2" w:rsidTr="00060905">
        <w:trPr>
          <w:trHeight w:val="20"/>
          <w:jc w:val="center"/>
        </w:trPr>
        <w:tc>
          <w:tcPr>
            <w:tcW w:w="846" w:type="dxa"/>
            <w:vMerge/>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p>
        </w:tc>
        <w:tc>
          <w:tcPr>
            <w:tcW w:w="1064" w:type="dxa"/>
            <w:vMerge/>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p>
        </w:tc>
        <w:tc>
          <w:tcPr>
            <w:tcW w:w="1629" w:type="dxa"/>
            <w:shd w:val="clear" w:color="auto" w:fill="auto"/>
            <w:vAlign w:val="center"/>
          </w:tcPr>
          <w:p w:rsidR="00ED4FC2" w:rsidRPr="00ED4FC2" w:rsidRDefault="00ED4FC2" w:rsidP="00ED4FC2">
            <w:pPr>
              <w:wordWrap w:val="0"/>
              <w:adjustRightInd w:val="0"/>
              <w:snapToGrid w:val="0"/>
              <w:rPr>
                <w:rFonts w:ascii="宋体" w:eastAsia="宋体" w:hAnsi="宋体" w:cs="宋体"/>
                <w:sz w:val="22"/>
              </w:rPr>
            </w:pPr>
            <w:r w:rsidRPr="00ED4FC2">
              <w:rPr>
                <w:rFonts w:ascii="宋体" w:eastAsia="宋体" w:hAnsi="宋体" w:cs="Times New Roman" w:hint="eastAsia"/>
                <w:sz w:val="22"/>
              </w:rPr>
              <w:t>风险承担能力水平（</w:t>
            </w:r>
            <w:r w:rsidRPr="00ED4FC2">
              <w:rPr>
                <w:rFonts w:ascii="宋体" w:eastAsia="宋体" w:hAnsi="宋体" w:cs="Times New Roman"/>
                <w:sz w:val="22"/>
              </w:rPr>
              <w:t>3分）</w:t>
            </w:r>
          </w:p>
        </w:tc>
        <w:tc>
          <w:tcPr>
            <w:tcW w:w="5520" w:type="dxa"/>
            <w:shd w:val="clear" w:color="auto" w:fill="auto"/>
            <w:vAlign w:val="center"/>
          </w:tcPr>
          <w:p w:rsidR="00ED4FC2" w:rsidRPr="00ED4FC2" w:rsidRDefault="00ED4FC2" w:rsidP="00ED4FC2">
            <w:pPr>
              <w:wordWrap w:val="0"/>
              <w:adjustRightInd w:val="0"/>
              <w:snapToGrid w:val="0"/>
              <w:jc w:val="left"/>
              <w:rPr>
                <w:rFonts w:ascii="宋体" w:eastAsia="宋体" w:hAnsi="宋体" w:cs="Times New Roman"/>
                <w:sz w:val="22"/>
              </w:rPr>
            </w:pPr>
            <w:r w:rsidRPr="00ED4FC2">
              <w:rPr>
                <w:rFonts w:ascii="宋体" w:eastAsia="宋体" w:hAnsi="宋体" w:cs="Times New Roman" w:hint="eastAsia"/>
                <w:sz w:val="22"/>
              </w:rPr>
              <w:t>评审投标人风险保障机制建立情況，包括职业责任保险制度建设执行或风险基金计提情况，风险防范能力等。</w:t>
            </w:r>
          </w:p>
          <w:p w:rsidR="00ED4FC2" w:rsidRPr="00ED4FC2" w:rsidRDefault="00ED4FC2" w:rsidP="00ED4FC2">
            <w:pPr>
              <w:wordWrap w:val="0"/>
              <w:adjustRightInd w:val="0"/>
              <w:snapToGrid w:val="0"/>
              <w:jc w:val="left"/>
              <w:rPr>
                <w:rFonts w:ascii="宋体" w:eastAsia="宋体" w:hAnsi="宋体" w:cs="Times New Roman"/>
                <w:sz w:val="22"/>
              </w:rPr>
            </w:pPr>
            <w:r w:rsidRPr="00ED4FC2">
              <w:rPr>
                <w:rFonts w:ascii="宋体" w:eastAsia="宋体" w:hAnsi="宋体" w:cs="Times New Roman" w:hint="eastAsia"/>
                <w:sz w:val="22"/>
              </w:rPr>
              <w:lastRenderedPageBreak/>
              <w:t>根据投标人风险承担能力水平的完整性进行评审：</w:t>
            </w:r>
          </w:p>
          <w:p w:rsidR="00ED4FC2" w:rsidRPr="00ED4FC2" w:rsidRDefault="00ED4FC2" w:rsidP="00ED4FC2">
            <w:pPr>
              <w:wordWrap w:val="0"/>
              <w:adjustRightInd w:val="0"/>
              <w:snapToGrid w:val="0"/>
              <w:rPr>
                <w:rFonts w:ascii="宋体" w:eastAsia="宋体" w:hAnsi="宋体" w:cs="宋体"/>
                <w:sz w:val="22"/>
              </w:rPr>
            </w:pPr>
            <w:r w:rsidRPr="00ED4FC2">
              <w:rPr>
                <w:rFonts w:ascii="宋体" w:eastAsia="宋体" w:hAnsi="宋体" w:cs="Times New Roman" w:hint="eastAsia"/>
                <w:sz w:val="22"/>
              </w:rPr>
              <w:t>优，得</w:t>
            </w:r>
            <w:r w:rsidRPr="00ED4FC2">
              <w:rPr>
                <w:rFonts w:ascii="宋体" w:eastAsia="宋体" w:hAnsi="宋体" w:cs="Times New Roman"/>
                <w:sz w:val="22"/>
              </w:rPr>
              <w:t>3</w:t>
            </w:r>
            <w:r w:rsidRPr="00ED4FC2">
              <w:rPr>
                <w:rFonts w:ascii="宋体" w:eastAsia="宋体" w:hAnsi="宋体" w:cs="Times New Roman" w:hint="eastAsia"/>
                <w:sz w:val="22"/>
              </w:rPr>
              <w:t>分；良好，得</w:t>
            </w:r>
            <w:r w:rsidRPr="00ED4FC2">
              <w:rPr>
                <w:rFonts w:ascii="宋体" w:eastAsia="宋体" w:hAnsi="宋体" w:cs="Times New Roman"/>
                <w:sz w:val="22"/>
              </w:rPr>
              <w:t>2</w:t>
            </w:r>
            <w:r w:rsidRPr="00ED4FC2">
              <w:rPr>
                <w:rFonts w:ascii="宋体" w:eastAsia="宋体" w:hAnsi="宋体" w:cs="Times New Roman" w:hint="eastAsia"/>
                <w:sz w:val="22"/>
              </w:rPr>
              <w:t>分；一般，得</w:t>
            </w:r>
            <w:r w:rsidRPr="00ED4FC2">
              <w:rPr>
                <w:rFonts w:ascii="宋体" w:eastAsia="宋体" w:hAnsi="宋体" w:cs="Times New Roman"/>
                <w:sz w:val="22"/>
              </w:rPr>
              <w:t>1</w:t>
            </w:r>
            <w:r w:rsidRPr="00ED4FC2">
              <w:rPr>
                <w:rFonts w:ascii="宋体" w:eastAsia="宋体" w:hAnsi="宋体" w:cs="Times New Roman" w:hint="eastAsia"/>
                <w:sz w:val="22"/>
              </w:rPr>
              <w:t>分；较差或无得</w:t>
            </w:r>
            <w:r w:rsidRPr="00ED4FC2">
              <w:rPr>
                <w:rFonts w:ascii="宋体" w:eastAsia="宋体" w:hAnsi="宋体" w:cs="Times New Roman"/>
                <w:sz w:val="22"/>
              </w:rPr>
              <w:t>0分。</w:t>
            </w:r>
          </w:p>
        </w:tc>
      </w:tr>
      <w:tr w:rsidR="00ED4FC2" w:rsidRPr="00ED4FC2" w:rsidTr="00060905">
        <w:trPr>
          <w:trHeight w:val="20"/>
          <w:jc w:val="center"/>
        </w:trPr>
        <w:tc>
          <w:tcPr>
            <w:tcW w:w="846" w:type="dxa"/>
            <w:vMerge/>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p>
        </w:tc>
        <w:tc>
          <w:tcPr>
            <w:tcW w:w="1064" w:type="dxa"/>
            <w:vMerge/>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p>
        </w:tc>
        <w:tc>
          <w:tcPr>
            <w:tcW w:w="1629" w:type="dxa"/>
            <w:shd w:val="clear" w:color="auto" w:fill="auto"/>
            <w:vAlign w:val="center"/>
          </w:tcPr>
          <w:p w:rsidR="00ED4FC2" w:rsidRPr="00ED4FC2" w:rsidRDefault="00ED4FC2" w:rsidP="00ED4FC2">
            <w:pPr>
              <w:wordWrap w:val="0"/>
              <w:adjustRightInd w:val="0"/>
              <w:snapToGrid w:val="0"/>
              <w:rPr>
                <w:rFonts w:ascii="宋体" w:eastAsia="宋体" w:hAnsi="宋体" w:cs="宋体"/>
                <w:sz w:val="22"/>
              </w:rPr>
            </w:pPr>
            <w:r w:rsidRPr="00ED4FC2">
              <w:rPr>
                <w:rFonts w:ascii="宋体" w:eastAsia="宋体" w:hAnsi="宋体" w:cs="Times New Roman" w:hint="eastAsia"/>
                <w:sz w:val="22"/>
              </w:rPr>
              <w:t>合理化建议（</w:t>
            </w:r>
            <w:r w:rsidRPr="00ED4FC2">
              <w:rPr>
                <w:rFonts w:ascii="宋体" w:eastAsia="宋体" w:hAnsi="宋体" w:cs="Times New Roman"/>
                <w:sz w:val="22"/>
              </w:rPr>
              <w:t>3分）</w:t>
            </w:r>
          </w:p>
        </w:tc>
        <w:tc>
          <w:tcPr>
            <w:tcW w:w="5520" w:type="dxa"/>
            <w:shd w:val="clear" w:color="auto" w:fill="auto"/>
            <w:vAlign w:val="center"/>
          </w:tcPr>
          <w:p w:rsidR="00ED4FC2" w:rsidRPr="00ED4FC2" w:rsidRDefault="00ED4FC2" w:rsidP="00ED4FC2">
            <w:pPr>
              <w:wordWrap w:val="0"/>
              <w:adjustRightInd w:val="0"/>
              <w:snapToGrid w:val="0"/>
              <w:jc w:val="left"/>
              <w:rPr>
                <w:rFonts w:ascii="宋体" w:eastAsia="宋体" w:hAnsi="宋体" w:cs="Times New Roman"/>
                <w:sz w:val="22"/>
              </w:rPr>
            </w:pPr>
            <w:r w:rsidRPr="00ED4FC2">
              <w:rPr>
                <w:rFonts w:ascii="宋体" w:eastAsia="宋体" w:hAnsi="宋体" w:cs="Times New Roman" w:hint="eastAsia"/>
                <w:sz w:val="22"/>
              </w:rPr>
              <w:t>投标人对本项目进行全面的分析和评估，考虑招标人的利益和需求，从招标人的角度出发，提出有利的建议和措施。</w:t>
            </w:r>
          </w:p>
          <w:p w:rsidR="00ED4FC2" w:rsidRPr="00ED4FC2" w:rsidRDefault="00ED4FC2" w:rsidP="00ED4FC2">
            <w:pPr>
              <w:wordWrap w:val="0"/>
              <w:adjustRightInd w:val="0"/>
              <w:snapToGrid w:val="0"/>
              <w:jc w:val="left"/>
              <w:rPr>
                <w:rFonts w:ascii="宋体" w:eastAsia="宋体" w:hAnsi="宋体" w:cs="Times New Roman"/>
                <w:sz w:val="22"/>
              </w:rPr>
            </w:pPr>
            <w:r w:rsidRPr="00ED4FC2">
              <w:rPr>
                <w:rFonts w:ascii="宋体" w:eastAsia="宋体" w:hAnsi="宋体" w:cs="Times New Roman" w:hint="eastAsia"/>
                <w:sz w:val="22"/>
              </w:rPr>
              <w:t>根据投标人提出建议的合理性、有效性、可行性方面进行评审：</w:t>
            </w:r>
          </w:p>
          <w:p w:rsidR="00ED4FC2" w:rsidRPr="00ED4FC2" w:rsidRDefault="00ED4FC2" w:rsidP="00ED4FC2">
            <w:pPr>
              <w:wordWrap w:val="0"/>
              <w:adjustRightInd w:val="0"/>
              <w:snapToGrid w:val="0"/>
              <w:rPr>
                <w:rFonts w:ascii="宋体" w:eastAsia="宋体" w:hAnsi="宋体" w:cs="宋体"/>
                <w:sz w:val="22"/>
              </w:rPr>
            </w:pPr>
            <w:r w:rsidRPr="00ED4FC2">
              <w:rPr>
                <w:rFonts w:ascii="宋体" w:eastAsia="宋体" w:hAnsi="宋体" w:cs="Times New Roman" w:hint="eastAsia"/>
                <w:sz w:val="22"/>
              </w:rPr>
              <w:t>优，得</w:t>
            </w:r>
            <w:r w:rsidRPr="00ED4FC2">
              <w:rPr>
                <w:rFonts w:ascii="宋体" w:eastAsia="宋体" w:hAnsi="宋体" w:cs="Times New Roman"/>
                <w:sz w:val="22"/>
              </w:rPr>
              <w:t>3</w:t>
            </w:r>
            <w:r w:rsidRPr="00ED4FC2">
              <w:rPr>
                <w:rFonts w:ascii="宋体" w:eastAsia="宋体" w:hAnsi="宋体" w:cs="Times New Roman" w:hint="eastAsia"/>
                <w:sz w:val="22"/>
              </w:rPr>
              <w:t>分；良好，得</w:t>
            </w:r>
            <w:r w:rsidRPr="00ED4FC2">
              <w:rPr>
                <w:rFonts w:ascii="宋体" w:eastAsia="宋体" w:hAnsi="宋体" w:cs="Times New Roman"/>
                <w:sz w:val="22"/>
              </w:rPr>
              <w:t>2</w:t>
            </w:r>
            <w:r w:rsidRPr="00ED4FC2">
              <w:rPr>
                <w:rFonts w:ascii="宋体" w:eastAsia="宋体" w:hAnsi="宋体" w:cs="Times New Roman" w:hint="eastAsia"/>
                <w:sz w:val="22"/>
              </w:rPr>
              <w:t>分；一般，得</w:t>
            </w:r>
            <w:r w:rsidRPr="00ED4FC2">
              <w:rPr>
                <w:rFonts w:ascii="宋体" w:eastAsia="宋体" w:hAnsi="宋体" w:cs="Times New Roman"/>
                <w:sz w:val="22"/>
              </w:rPr>
              <w:t>1</w:t>
            </w:r>
            <w:r w:rsidRPr="00ED4FC2">
              <w:rPr>
                <w:rFonts w:ascii="宋体" w:eastAsia="宋体" w:hAnsi="宋体" w:cs="Times New Roman" w:hint="eastAsia"/>
                <w:sz w:val="22"/>
              </w:rPr>
              <w:t>分；较差或无得</w:t>
            </w:r>
            <w:r w:rsidRPr="00ED4FC2">
              <w:rPr>
                <w:rFonts w:ascii="宋体" w:eastAsia="宋体" w:hAnsi="宋体" w:cs="Times New Roman"/>
                <w:sz w:val="22"/>
              </w:rPr>
              <w:t>0分。</w:t>
            </w:r>
          </w:p>
        </w:tc>
      </w:tr>
      <w:tr w:rsidR="00ED4FC2" w:rsidRPr="00ED4FC2" w:rsidTr="00060905">
        <w:trPr>
          <w:trHeight w:val="20"/>
          <w:jc w:val="center"/>
        </w:trPr>
        <w:tc>
          <w:tcPr>
            <w:tcW w:w="846" w:type="dxa"/>
            <w:vMerge/>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p>
        </w:tc>
        <w:tc>
          <w:tcPr>
            <w:tcW w:w="1064" w:type="dxa"/>
            <w:vMerge/>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p>
        </w:tc>
        <w:tc>
          <w:tcPr>
            <w:tcW w:w="1629" w:type="dxa"/>
            <w:shd w:val="clear" w:color="auto" w:fill="auto"/>
            <w:vAlign w:val="center"/>
          </w:tcPr>
          <w:p w:rsidR="00ED4FC2" w:rsidRPr="00ED4FC2" w:rsidRDefault="00ED4FC2" w:rsidP="00ED4FC2">
            <w:pPr>
              <w:wordWrap w:val="0"/>
              <w:adjustRightInd w:val="0"/>
              <w:snapToGrid w:val="0"/>
              <w:rPr>
                <w:rFonts w:ascii="宋体" w:eastAsia="宋体" w:hAnsi="宋体" w:cs="宋体"/>
                <w:sz w:val="22"/>
              </w:rPr>
            </w:pPr>
            <w:r w:rsidRPr="00ED4FC2">
              <w:rPr>
                <w:rFonts w:ascii="宋体" w:eastAsia="宋体" w:hAnsi="宋体" w:cs="Times New Roman" w:hint="eastAsia"/>
                <w:sz w:val="22"/>
              </w:rPr>
              <w:t>企业业绩（</w:t>
            </w:r>
            <w:r w:rsidRPr="00ED4FC2">
              <w:rPr>
                <w:rFonts w:ascii="宋体" w:eastAsia="宋体" w:hAnsi="宋体" w:cs="Times New Roman"/>
                <w:sz w:val="22"/>
              </w:rPr>
              <w:t>30分）</w:t>
            </w:r>
          </w:p>
        </w:tc>
        <w:tc>
          <w:tcPr>
            <w:tcW w:w="5520" w:type="dxa"/>
            <w:shd w:val="clear" w:color="auto" w:fill="auto"/>
            <w:vAlign w:val="center"/>
          </w:tcPr>
          <w:p w:rsidR="00ED4FC2" w:rsidRPr="00ED4FC2" w:rsidRDefault="00ED4FC2" w:rsidP="00ED4FC2">
            <w:pPr>
              <w:wordWrap w:val="0"/>
              <w:adjustRightInd w:val="0"/>
              <w:snapToGrid w:val="0"/>
              <w:jc w:val="left"/>
              <w:rPr>
                <w:rFonts w:ascii="宋体" w:eastAsia="宋体" w:hAnsi="宋体" w:cs="Times New Roman"/>
                <w:sz w:val="22"/>
              </w:rPr>
            </w:pPr>
            <w:r w:rsidRPr="00ED4FC2">
              <w:rPr>
                <w:rFonts w:ascii="宋体" w:eastAsia="宋体" w:hAnsi="宋体" w:cs="Times New Roman" w:hint="eastAsia"/>
                <w:sz w:val="22"/>
              </w:rPr>
              <w:t>根据投标人自2021年1月1日至今完成过审计服务项目业绩情况进行评审：每一项得</w:t>
            </w:r>
            <w:r w:rsidRPr="00ED4FC2">
              <w:rPr>
                <w:rFonts w:ascii="宋体" w:eastAsia="宋体" w:hAnsi="宋体" w:cs="Times New Roman"/>
                <w:sz w:val="22"/>
              </w:rPr>
              <w:t>10</w:t>
            </w:r>
            <w:r w:rsidRPr="00ED4FC2">
              <w:rPr>
                <w:rFonts w:ascii="宋体" w:eastAsia="宋体" w:hAnsi="宋体" w:cs="Times New Roman" w:hint="eastAsia"/>
                <w:sz w:val="22"/>
              </w:rPr>
              <w:t>分，最高得</w:t>
            </w:r>
            <w:r w:rsidRPr="00ED4FC2">
              <w:rPr>
                <w:rFonts w:ascii="宋体" w:eastAsia="宋体" w:hAnsi="宋体" w:cs="Times New Roman"/>
                <w:sz w:val="22"/>
              </w:rPr>
              <w:t>30</w:t>
            </w:r>
            <w:r w:rsidRPr="00ED4FC2">
              <w:rPr>
                <w:rFonts w:ascii="宋体" w:eastAsia="宋体" w:hAnsi="宋体" w:cs="Times New Roman" w:hint="eastAsia"/>
                <w:sz w:val="22"/>
              </w:rPr>
              <w:t>分。</w:t>
            </w:r>
          </w:p>
          <w:p w:rsidR="00ED4FC2" w:rsidRPr="00ED4FC2" w:rsidRDefault="00ED4FC2" w:rsidP="00ED4FC2">
            <w:pPr>
              <w:wordWrap w:val="0"/>
              <w:adjustRightInd w:val="0"/>
              <w:snapToGrid w:val="0"/>
              <w:rPr>
                <w:rFonts w:ascii="宋体" w:eastAsia="宋体" w:hAnsi="宋体" w:cs="宋体"/>
                <w:sz w:val="22"/>
              </w:rPr>
            </w:pPr>
            <w:r w:rsidRPr="00ED4FC2">
              <w:rPr>
                <w:rFonts w:ascii="宋体" w:eastAsia="宋体" w:hAnsi="宋体" w:cs="Times New Roman" w:hint="eastAsia"/>
                <w:sz w:val="22"/>
              </w:rPr>
              <w:t>注：须提供（1）业绩相关合同或业务约定</w:t>
            </w:r>
            <w:proofErr w:type="gramStart"/>
            <w:r w:rsidRPr="00ED4FC2">
              <w:rPr>
                <w:rFonts w:ascii="宋体" w:eastAsia="宋体" w:hAnsi="宋体" w:cs="Times New Roman" w:hint="eastAsia"/>
                <w:sz w:val="22"/>
              </w:rPr>
              <w:t>书关键页</w:t>
            </w:r>
            <w:proofErr w:type="gramEnd"/>
            <w:r w:rsidRPr="00ED4FC2">
              <w:rPr>
                <w:rFonts w:ascii="宋体" w:eastAsia="宋体" w:hAnsi="宋体" w:cs="Times New Roman" w:hint="eastAsia"/>
                <w:sz w:val="22"/>
              </w:rPr>
              <w:t>复印件（至少包含服务内容页、金额页、签订时间页、盖章签署页）（2）时间以合同或业务约定书上的签订日期为准。</w:t>
            </w:r>
          </w:p>
        </w:tc>
      </w:tr>
      <w:tr w:rsidR="00ED4FC2" w:rsidRPr="00ED4FC2" w:rsidTr="00060905">
        <w:trPr>
          <w:trHeight w:val="20"/>
          <w:jc w:val="center"/>
        </w:trPr>
        <w:tc>
          <w:tcPr>
            <w:tcW w:w="846" w:type="dxa"/>
            <w:vMerge/>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p>
        </w:tc>
        <w:tc>
          <w:tcPr>
            <w:tcW w:w="1064" w:type="dxa"/>
            <w:vMerge/>
            <w:shd w:val="clear" w:color="auto" w:fill="auto"/>
            <w:vAlign w:val="center"/>
          </w:tcPr>
          <w:p w:rsidR="00ED4FC2" w:rsidRPr="00ED4FC2" w:rsidRDefault="00ED4FC2" w:rsidP="00ED4FC2">
            <w:pPr>
              <w:wordWrap w:val="0"/>
              <w:adjustRightInd w:val="0"/>
              <w:snapToGrid w:val="0"/>
              <w:jc w:val="left"/>
              <w:rPr>
                <w:rFonts w:ascii="宋体" w:eastAsia="宋体" w:hAnsi="宋体" w:cs="宋体"/>
                <w:sz w:val="22"/>
              </w:rPr>
            </w:pPr>
          </w:p>
        </w:tc>
        <w:tc>
          <w:tcPr>
            <w:tcW w:w="1629" w:type="dxa"/>
            <w:shd w:val="clear" w:color="auto" w:fill="auto"/>
            <w:vAlign w:val="center"/>
          </w:tcPr>
          <w:p w:rsidR="00ED4FC2" w:rsidRPr="00ED4FC2" w:rsidRDefault="00ED4FC2" w:rsidP="00ED4FC2">
            <w:pPr>
              <w:wordWrap w:val="0"/>
              <w:adjustRightInd w:val="0"/>
              <w:snapToGrid w:val="0"/>
              <w:rPr>
                <w:rFonts w:ascii="宋体" w:eastAsia="宋体" w:hAnsi="宋体" w:cs="宋体"/>
                <w:sz w:val="22"/>
              </w:rPr>
            </w:pPr>
            <w:r w:rsidRPr="00ED4FC2">
              <w:rPr>
                <w:rFonts w:ascii="宋体" w:eastAsia="宋体" w:hAnsi="宋体" w:cs="Times New Roman" w:hint="eastAsia"/>
                <w:sz w:val="22"/>
              </w:rPr>
              <w:t>投标报价（</w:t>
            </w:r>
            <w:r w:rsidRPr="00ED4FC2">
              <w:rPr>
                <w:rFonts w:ascii="宋体" w:eastAsia="宋体" w:hAnsi="宋体" w:cs="Times New Roman"/>
                <w:sz w:val="22"/>
              </w:rPr>
              <w:t>15分）</w:t>
            </w:r>
          </w:p>
        </w:tc>
        <w:tc>
          <w:tcPr>
            <w:tcW w:w="5520" w:type="dxa"/>
            <w:shd w:val="clear" w:color="auto" w:fill="auto"/>
            <w:vAlign w:val="center"/>
          </w:tcPr>
          <w:p w:rsidR="00ED4FC2" w:rsidRPr="00ED4FC2" w:rsidRDefault="00ED4FC2" w:rsidP="00ED4FC2">
            <w:pPr>
              <w:widowControl/>
              <w:wordWrap w:val="0"/>
              <w:jc w:val="left"/>
              <w:rPr>
                <w:rFonts w:ascii="宋体" w:eastAsia="宋体" w:hAnsi="宋体" w:cs="Times New Roman"/>
                <w:sz w:val="22"/>
              </w:rPr>
            </w:pPr>
            <w:r w:rsidRPr="00ED4FC2">
              <w:rPr>
                <w:rFonts w:ascii="宋体" w:eastAsia="宋体" w:hAnsi="宋体" w:cs="Times New Roman" w:hint="eastAsia"/>
                <w:sz w:val="22"/>
              </w:rPr>
              <w:t>评标基准价</w:t>
            </w:r>
            <w:r w:rsidRPr="00ED4FC2">
              <w:rPr>
                <w:rFonts w:ascii="宋体" w:eastAsia="宋体" w:hAnsi="宋体" w:cs="Times New Roman"/>
                <w:sz w:val="22"/>
              </w:rPr>
              <w:t>=满足招标文件要求的所有</w:t>
            </w:r>
            <w:r w:rsidRPr="00ED4FC2">
              <w:rPr>
                <w:rFonts w:ascii="宋体" w:eastAsia="宋体" w:hAnsi="宋体" w:cs="Times New Roman" w:hint="eastAsia"/>
                <w:sz w:val="22"/>
              </w:rPr>
              <w:t>投标</w:t>
            </w:r>
            <w:r w:rsidRPr="00ED4FC2">
              <w:rPr>
                <w:rFonts w:ascii="宋体" w:eastAsia="宋体" w:hAnsi="宋体" w:cs="Times New Roman"/>
                <w:sz w:val="22"/>
              </w:rPr>
              <w:t>报价的平均值</w:t>
            </w:r>
          </w:p>
          <w:p w:rsidR="00ED4FC2" w:rsidRPr="00ED4FC2" w:rsidRDefault="00ED4FC2" w:rsidP="00ED4FC2">
            <w:pPr>
              <w:widowControl/>
              <w:wordWrap w:val="0"/>
              <w:jc w:val="left"/>
              <w:rPr>
                <w:rFonts w:ascii="宋体" w:eastAsia="宋体" w:hAnsi="宋体" w:cs="Times New Roman"/>
                <w:sz w:val="22"/>
              </w:rPr>
            </w:pPr>
            <w:r w:rsidRPr="00ED4FC2">
              <w:rPr>
                <w:rFonts w:ascii="宋体" w:eastAsia="宋体" w:hAnsi="宋体" w:cs="Times New Roman" w:hint="eastAsia"/>
                <w:sz w:val="22"/>
              </w:rPr>
              <w:t>报价得分</w:t>
            </w:r>
            <w:r w:rsidRPr="00ED4FC2">
              <w:rPr>
                <w:rFonts w:ascii="宋体" w:eastAsia="宋体" w:hAnsi="宋体" w:cs="Times New Roman"/>
                <w:sz w:val="22"/>
              </w:rPr>
              <w:t>=(1-|评标基准价-投标人</w:t>
            </w:r>
            <w:r w:rsidRPr="00ED4FC2">
              <w:rPr>
                <w:rFonts w:ascii="宋体" w:eastAsia="宋体" w:hAnsi="宋体" w:cs="Times New Roman" w:hint="eastAsia"/>
                <w:sz w:val="22"/>
              </w:rPr>
              <w:t>投标</w:t>
            </w:r>
            <w:r w:rsidRPr="00ED4FC2">
              <w:rPr>
                <w:rFonts w:ascii="宋体" w:eastAsia="宋体" w:hAnsi="宋体" w:cs="Times New Roman"/>
                <w:sz w:val="22"/>
              </w:rPr>
              <w:t>报价|/评标基准价)×15</w:t>
            </w:r>
          </w:p>
          <w:p w:rsidR="00ED4FC2" w:rsidRPr="00ED4FC2" w:rsidRDefault="00ED4FC2" w:rsidP="00ED4FC2">
            <w:pPr>
              <w:wordWrap w:val="0"/>
              <w:adjustRightInd w:val="0"/>
              <w:snapToGrid w:val="0"/>
              <w:rPr>
                <w:rFonts w:ascii="宋体" w:eastAsia="宋体" w:hAnsi="宋体" w:cs="宋体"/>
                <w:sz w:val="22"/>
              </w:rPr>
            </w:pPr>
            <w:r w:rsidRPr="00ED4FC2">
              <w:rPr>
                <w:rFonts w:ascii="宋体" w:eastAsia="宋体" w:hAnsi="宋体" w:cs="Times New Roman" w:hint="eastAsia"/>
                <w:sz w:val="22"/>
              </w:rPr>
              <w:t>注：投标报价得分四舍五入后，小数点后保留两位有效数。</w:t>
            </w:r>
          </w:p>
        </w:tc>
      </w:tr>
    </w:tbl>
    <w:p w:rsidR="00ED4FC2" w:rsidRPr="00ED4FC2" w:rsidRDefault="00ED4FC2" w:rsidP="00ED4FC2">
      <w:pPr>
        <w:wordWrap w:val="0"/>
        <w:autoSpaceDE w:val="0"/>
        <w:autoSpaceDN w:val="0"/>
        <w:adjustRightInd w:val="0"/>
        <w:snapToGrid w:val="0"/>
        <w:spacing w:line="312" w:lineRule="auto"/>
        <w:ind w:firstLineChars="200" w:firstLine="482"/>
        <w:textAlignment w:val="center"/>
        <w:rPr>
          <w:rFonts w:ascii="宋体" w:eastAsia="宋体" w:hAnsi="宋体" w:cs="宋体"/>
          <w:b/>
          <w:bCs/>
          <w:snapToGrid w:val="0"/>
          <w:sz w:val="24"/>
          <w:szCs w:val="21"/>
        </w:rPr>
      </w:pPr>
    </w:p>
    <w:p w:rsidR="00ED4FC2" w:rsidRPr="00ED4FC2" w:rsidRDefault="00ED4FC2" w:rsidP="00ED4FC2">
      <w:pPr>
        <w:pageBreakBefore/>
        <w:wordWrap w:val="0"/>
        <w:adjustRightInd w:val="0"/>
        <w:snapToGrid w:val="0"/>
        <w:spacing w:beforeLines="50" w:before="156" w:line="312" w:lineRule="auto"/>
        <w:ind w:firstLineChars="200" w:firstLine="482"/>
        <w:jc w:val="left"/>
        <w:outlineLvl w:val="1"/>
        <w:rPr>
          <w:rFonts w:ascii="宋体" w:eastAsia="宋体" w:hAnsi="宋体" w:cs="宋体"/>
          <w:b/>
          <w:sz w:val="24"/>
          <w:szCs w:val="24"/>
        </w:rPr>
      </w:pPr>
      <w:r w:rsidRPr="00ED4FC2">
        <w:rPr>
          <w:rFonts w:ascii="宋体" w:eastAsia="宋体" w:hAnsi="宋体" w:cs="宋体"/>
          <w:b/>
          <w:sz w:val="24"/>
          <w:szCs w:val="24"/>
        </w:rPr>
        <w:lastRenderedPageBreak/>
        <w:t>1.评标方法</w:t>
      </w:r>
    </w:p>
    <w:p w:rsidR="00ED4FC2" w:rsidRPr="00ED4FC2" w:rsidRDefault="00ED4FC2" w:rsidP="00ED4FC2">
      <w:pPr>
        <w:wordWrap w:val="0"/>
        <w:adjustRightInd w:val="0"/>
        <w:snapToGrid w:val="0"/>
        <w:spacing w:line="312" w:lineRule="auto"/>
        <w:ind w:firstLineChars="200" w:firstLine="480"/>
        <w:jc w:val="left"/>
        <w:rPr>
          <w:rFonts w:ascii="宋体" w:eastAsia="宋体" w:hAnsi="宋体" w:cs="宋体"/>
          <w:bCs/>
          <w:sz w:val="24"/>
          <w:szCs w:val="24"/>
        </w:rPr>
      </w:pPr>
      <w:r w:rsidRPr="00ED4FC2">
        <w:rPr>
          <w:rFonts w:ascii="宋体" w:eastAsia="宋体" w:hAnsi="宋体" w:cs="宋体"/>
          <w:bCs/>
          <w:sz w:val="24"/>
          <w:szCs w:val="24"/>
        </w:rPr>
        <w:t>本次评标采用</w:t>
      </w:r>
      <w:r w:rsidRPr="00ED4FC2">
        <w:rPr>
          <w:rFonts w:ascii="宋体" w:eastAsia="宋体" w:hAnsi="宋体" w:cs="宋体"/>
          <w:b/>
          <w:bCs/>
          <w:sz w:val="24"/>
          <w:szCs w:val="24"/>
          <w:u w:val="single"/>
        </w:rPr>
        <w:t>综合评分法</w:t>
      </w:r>
      <w:r w:rsidRPr="00ED4FC2">
        <w:rPr>
          <w:rFonts w:ascii="宋体" w:eastAsia="宋体" w:hAnsi="宋体" w:cs="宋体"/>
          <w:bCs/>
          <w:sz w:val="24"/>
          <w:szCs w:val="24"/>
        </w:rPr>
        <w:t>。评标委员会对满足招标文件实质性要求的投标文件，按照本章第2.2款规定的评分标准进行综合评分，并按综合评分由高到低顺序推荐不超过3名中标候选人，综合评分相等时，以综合评分相等的单位中随机抽取优先确定第一中标候选人。</w:t>
      </w:r>
    </w:p>
    <w:p w:rsidR="00ED4FC2" w:rsidRPr="00ED4FC2" w:rsidRDefault="00ED4FC2" w:rsidP="00ED4FC2">
      <w:pPr>
        <w:wordWrap w:val="0"/>
        <w:adjustRightInd w:val="0"/>
        <w:snapToGrid w:val="0"/>
        <w:spacing w:beforeLines="50" w:before="156" w:line="312" w:lineRule="auto"/>
        <w:ind w:firstLineChars="200" w:firstLine="482"/>
        <w:jc w:val="left"/>
        <w:outlineLvl w:val="1"/>
        <w:rPr>
          <w:rFonts w:ascii="宋体" w:eastAsia="宋体" w:hAnsi="宋体" w:cs="宋体"/>
          <w:b/>
          <w:sz w:val="24"/>
          <w:szCs w:val="24"/>
        </w:rPr>
      </w:pPr>
      <w:r w:rsidRPr="00ED4FC2">
        <w:rPr>
          <w:rFonts w:ascii="宋体" w:eastAsia="宋体" w:hAnsi="宋体" w:cs="宋体"/>
          <w:b/>
          <w:sz w:val="24"/>
          <w:szCs w:val="24"/>
        </w:rPr>
        <w:t>2.评审标准</w:t>
      </w:r>
    </w:p>
    <w:p w:rsidR="00ED4FC2" w:rsidRPr="00ED4FC2" w:rsidRDefault="00ED4FC2" w:rsidP="00ED4FC2">
      <w:pPr>
        <w:wordWrap w:val="0"/>
        <w:adjustRightInd w:val="0"/>
        <w:snapToGrid w:val="0"/>
        <w:spacing w:line="312" w:lineRule="auto"/>
        <w:ind w:firstLineChars="200" w:firstLine="480"/>
        <w:jc w:val="left"/>
        <w:rPr>
          <w:rFonts w:ascii="宋体" w:eastAsia="宋体" w:hAnsi="宋体" w:cs="宋体"/>
          <w:bCs/>
          <w:sz w:val="24"/>
          <w:szCs w:val="24"/>
        </w:rPr>
      </w:pPr>
      <w:r w:rsidRPr="00ED4FC2">
        <w:rPr>
          <w:rFonts w:ascii="宋体" w:eastAsia="宋体" w:hAnsi="宋体" w:cs="宋体"/>
          <w:bCs/>
          <w:sz w:val="24"/>
          <w:szCs w:val="24"/>
        </w:rPr>
        <w:t>2.1初步评审标准</w:t>
      </w:r>
    </w:p>
    <w:p w:rsidR="00ED4FC2" w:rsidRPr="00ED4FC2" w:rsidRDefault="00ED4FC2" w:rsidP="00ED4FC2">
      <w:pPr>
        <w:wordWrap w:val="0"/>
        <w:adjustRightInd w:val="0"/>
        <w:snapToGrid w:val="0"/>
        <w:spacing w:line="312" w:lineRule="auto"/>
        <w:ind w:firstLineChars="200" w:firstLine="480"/>
        <w:jc w:val="left"/>
        <w:rPr>
          <w:rFonts w:ascii="宋体" w:eastAsia="宋体" w:hAnsi="宋体" w:cs="宋体"/>
          <w:bCs/>
          <w:sz w:val="24"/>
          <w:szCs w:val="24"/>
        </w:rPr>
      </w:pPr>
      <w:r w:rsidRPr="00ED4FC2">
        <w:rPr>
          <w:rFonts w:ascii="宋体" w:eastAsia="宋体" w:hAnsi="宋体" w:cs="宋体"/>
          <w:bCs/>
          <w:sz w:val="24"/>
          <w:szCs w:val="24"/>
        </w:rPr>
        <w:t>2.1.1形式评审标准：见评标办法前附表。</w:t>
      </w:r>
    </w:p>
    <w:p w:rsidR="00ED4FC2" w:rsidRPr="00ED4FC2" w:rsidRDefault="00ED4FC2" w:rsidP="00ED4FC2">
      <w:pPr>
        <w:wordWrap w:val="0"/>
        <w:adjustRightInd w:val="0"/>
        <w:snapToGrid w:val="0"/>
        <w:spacing w:line="312" w:lineRule="auto"/>
        <w:ind w:firstLineChars="200" w:firstLine="480"/>
        <w:jc w:val="left"/>
        <w:rPr>
          <w:rFonts w:ascii="宋体" w:eastAsia="宋体" w:hAnsi="宋体" w:cs="宋体"/>
          <w:bCs/>
          <w:sz w:val="24"/>
          <w:szCs w:val="24"/>
        </w:rPr>
      </w:pPr>
      <w:r w:rsidRPr="00ED4FC2">
        <w:rPr>
          <w:rFonts w:ascii="宋体" w:eastAsia="宋体" w:hAnsi="宋体" w:cs="宋体"/>
          <w:bCs/>
          <w:sz w:val="24"/>
          <w:szCs w:val="24"/>
        </w:rPr>
        <w:t>2.1.2响应性评审标准：见评标办法前附表。</w:t>
      </w:r>
    </w:p>
    <w:p w:rsidR="00ED4FC2" w:rsidRPr="00ED4FC2" w:rsidRDefault="00ED4FC2" w:rsidP="00ED4FC2">
      <w:pPr>
        <w:wordWrap w:val="0"/>
        <w:adjustRightInd w:val="0"/>
        <w:snapToGrid w:val="0"/>
        <w:spacing w:line="312" w:lineRule="auto"/>
        <w:ind w:firstLineChars="200" w:firstLine="480"/>
        <w:jc w:val="left"/>
        <w:rPr>
          <w:rFonts w:ascii="宋体" w:eastAsia="宋体" w:hAnsi="宋体" w:cs="宋体"/>
          <w:bCs/>
          <w:sz w:val="24"/>
          <w:szCs w:val="24"/>
        </w:rPr>
      </w:pPr>
      <w:r w:rsidRPr="00ED4FC2">
        <w:rPr>
          <w:rFonts w:ascii="宋体" w:eastAsia="宋体" w:hAnsi="宋体" w:cs="宋体"/>
          <w:bCs/>
          <w:sz w:val="24"/>
          <w:szCs w:val="24"/>
        </w:rPr>
        <w:t>2.1.3资格评审标准：见评标办法前附表。</w:t>
      </w:r>
    </w:p>
    <w:p w:rsidR="00ED4FC2" w:rsidRPr="00ED4FC2" w:rsidRDefault="00ED4FC2" w:rsidP="00ED4FC2">
      <w:pPr>
        <w:wordWrap w:val="0"/>
        <w:adjustRightInd w:val="0"/>
        <w:snapToGrid w:val="0"/>
        <w:spacing w:line="312" w:lineRule="auto"/>
        <w:ind w:firstLineChars="200" w:firstLine="480"/>
        <w:jc w:val="left"/>
        <w:rPr>
          <w:rFonts w:ascii="宋体" w:eastAsia="宋体" w:hAnsi="宋体" w:cs="宋体"/>
          <w:bCs/>
          <w:sz w:val="24"/>
          <w:szCs w:val="24"/>
        </w:rPr>
      </w:pPr>
      <w:r w:rsidRPr="00ED4FC2">
        <w:rPr>
          <w:rFonts w:ascii="宋体" w:eastAsia="宋体" w:hAnsi="宋体" w:cs="宋体"/>
          <w:bCs/>
          <w:sz w:val="24"/>
          <w:szCs w:val="24"/>
        </w:rPr>
        <w:t>2.2详细评审</w:t>
      </w:r>
    </w:p>
    <w:p w:rsidR="00ED4FC2" w:rsidRPr="00ED4FC2" w:rsidRDefault="00ED4FC2" w:rsidP="00ED4FC2">
      <w:pPr>
        <w:wordWrap w:val="0"/>
        <w:adjustRightInd w:val="0"/>
        <w:snapToGrid w:val="0"/>
        <w:spacing w:line="312" w:lineRule="auto"/>
        <w:ind w:firstLineChars="200" w:firstLine="480"/>
        <w:jc w:val="left"/>
        <w:rPr>
          <w:rFonts w:ascii="宋体" w:eastAsia="宋体" w:hAnsi="宋体" w:cs="宋体"/>
          <w:bCs/>
          <w:sz w:val="24"/>
          <w:szCs w:val="24"/>
        </w:rPr>
      </w:pPr>
      <w:r w:rsidRPr="00ED4FC2">
        <w:rPr>
          <w:rFonts w:ascii="宋体" w:eastAsia="宋体" w:hAnsi="宋体" w:cs="宋体"/>
          <w:bCs/>
          <w:sz w:val="24"/>
          <w:szCs w:val="24"/>
        </w:rPr>
        <w:t>2.2.1分值构成与评分标准：见评标办法前附表。</w:t>
      </w:r>
    </w:p>
    <w:p w:rsidR="00ED4FC2" w:rsidRPr="00ED4FC2" w:rsidRDefault="00ED4FC2" w:rsidP="00ED4FC2">
      <w:pPr>
        <w:wordWrap w:val="0"/>
        <w:adjustRightInd w:val="0"/>
        <w:snapToGrid w:val="0"/>
        <w:spacing w:beforeLines="50" w:before="156" w:line="312" w:lineRule="auto"/>
        <w:ind w:firstLineChars="200" w:firstLine="482"/>
        <w:jc w:val="left"/>
        <w:outlineLvl w:val="1"/>
        <w:rPr>
          <w:rFonts w:ascii="宋体" w:eastAsia="宋体" w:hAnsi="宋体" w:cs="宋体"/>
          <w:b/>
          <w:sz w:val="24"/>
          <w:szCs w:val="24"/>
        </w:rPr>
      </w:pPr>
      <w:r w:rsidRPr="00ED4FC2">
        <w:rPr>
          <w:rFonts w:ascii="宋体" w:eastAsia="宋体" w:hAnsi="宋体" w:cs="宋体"/>
          <w:b/>
          <w:sz w:val="24"/>
          <w:szCs w:val="24"/>
        </w:rPr>
        <w:t>3.评标程序</w:t>
      </w:r>
    </w:p>
    <w:p w:rsidR="00ED4FC2" w:rsidRPr="00ED4FC2" w:rsidRDefault="00ED4FC2" w:rsidP="00ED4FC2">
      <w:pPr>
        <w:wordWrap w:val="0"/>
        <w:adjustRightInd w:val="0"/>
        <w:snapToGrid w:val="0"/>
        <w:spacing w:line="312" w:lineRule="auto"/>
        <w:ind w:firstLineChars="200" w:firstLine="482"/>
        <w:rPr>
          <w:rFonts w:ascii="宋体" w:eastAsia="宋体" w:hAnsi="宋体" w:cs="宋体"/>
          <w:b/>
          <w:sz w:val="24"/>
          <w:szCs w:val="24"/>
        </w:rPr>
      </w:pPr>
      <w:r w:rsidRPr="00ED4FC2">
        <w:rPr>
          <w:rFonts w:ascii="宋体" w:eastAsia="宋体" w:hAnsi="宋体" w:cs="宋体" w:hint="eastAsia"/>
          <w:b/>
          <w:sz w:val="24"/>
          <w:szCs w:val="24"/>
        </w:rPr>
        <w:t>3.1初步评审</w:t>
      </w:r>
    </w:p>
    <w:p w:rsidR="00ED4FC2" w:rsidRPr="00ED4FC2" w:rsidRDefault="00ED4FC2" w:rsidP="00ED4FC2">
      <w:pPr>
        <w:wordWrap w:val="0"/>
        <w:adjustRightInd w:val="0"/>
        <w:snapToGrid w:val="0"/>
        <w:spacing w:line="312" w:lineRule="auto"/>
        <w:ind w:firstLineChars="200" w:firstLine="480"/>
        <w:rPr>
          <w:rFonts w:ascii="宋体" w:eastAsia="宋体" w:hAnsi="宋体" w:cs="宋体"/>
          <w:sz w:val="24"/>
          <w:szCs w:val="24"/>
        </w:rPr>
      </w:pPr>
      <w:r w:rsidRPr="00ED4FC2">
        <w:rPr>
          <w:rFonts w:ascii="宋体" w:eastAsia="宋体" w:hAnsi="宋体" w:cs="宋体" w:hint="eastAsia"/>
          <w:sz w:val="24"/>
          <w:szCs w:val="24"/>
        </w:rPr>
        <w:t>3.1.1评标委员会依据本章第2.1.1及2.1.2条规定的标准，对投标文件进行形式评审与响应性评审。有一项不符合评审标准的，评标委员会应当否决其投标。</w:t>
      </w:r>
    </w:p>
    <w:p w:rsidR="00ED4FC2" w:rsidRPr="00ED4FC2" w:rsidRDefault="00ED4FC2" w:rsidP="00ED4FC2">
      <w:pPr>
        <w:wordWrap w:val="0"/>
        <w:adjustRightInd w:val="0"/>
        <w:snapToGrid w:val="0"/>
        <w:spacing w:line="312" w:lineRule="auto"/>
        <w:ind w:firstLineChars="200" w:firstLine="480"/>
        <w:rPr>
          <w:rFonts w:ascii="宋体" w:eastAsia="宋体" w:hAnsi="宋体" w:cs="宋体"/>
          <w:sz w:val="24"/>
          <w:szCs w:val="24"/>
        </w:rPr>
      </w:pPr>
      <w:r w:rsidRPr="00ED4FC2">
        <w:rPr>
          <w:rFonts w:ascii="宋体" w:eastAsia="宋体" w:hAnsi="宋体" w:cs="宋体" w:hint="eastAsia"/>
          <w:sz w:val="24"/>
          <w:szCs w:val="24"/>
        </w:rPr>
        <w:t>3.1.2资格评审标准：评标委员会依据本章第2.1.3条规定的标准，对通过形式评审与响应性评审的投标文件进行资格评审。有一项不符合评审标准的，评标委员会应当否决其投标。</w:t>
      </w:r>
    </w:p>
    <w:p w:rsidR="00ED4FC2" w:rsidRPr="00ED4FC2" w:rsidRDefault="00ED4FC2" w:rsidP="00ED4FC2">
      <w:pPr>
        <w:wordWrap w:val="0"/>
        <w:adjustRightInd w:val="0"/>
        <w:snapToGrid w:val="0"/>
        <w:spacing w:line="312" w:lineRule="auto"/>
        <w:ind w:firstLineChars="200" w:firstLine="482"/>
        <w:rPr>
          <w:rFonts w:ascii="宋体" w:eastAsia="宋体" w:hAnsi="宋体" w:cs="宋体"/>
          <w:b/>
          <w:sz w:val="24"/>
          <w:szCs w:val="24"/>
        </w:rPr>
      </w:pPr>
      <w:r w:rsidRPr="00ED4FC2">
        <w:rPr>
          <w:rFonts w:ascii="宋体" w:eastAsia="宋体" w:hAnsi="宋体" w:cs="宋体" w:hint="eastAsia"/>
          <w:b/>
          <w:sz w:val="24"/>
          <w:szCs w:val="24"/>
        </w:rPr>
        <w:t>3.2详细评审</w:t>
      </w:r>
    </w:p>
    <w:p w:rsidR="00ED4FC2" w:rsidRPr="00ED4FC2" w:rsidRDefault="00ED4FC2" w:rsidP="00ED4FC2">
      <w:pPr>
        <w:wordWrap w:val="0"/>
        <w:adjustRightInd w:val="0"/>
        <w:snapToGrid w:val="0"/>
        <w:spacing w:line="312" w:lineRule="auto"/>
        <w:ind w:firstLineChars="200" w:firstLine="480"/>
        <w:rPr>
          <w:rFonts w:ascii="宋体" w:eastAsia="宋体" w:hAnsi="宋体" w:cs="宋体"/>
          <w:sz w:val="24"/>
          <w:szCs w:val="24"/>
        </w:rPr>
      </w:pPr>
      <w:r w:rsidRPr="00ED4FC2">
        <w:rPr>
          <w:rFonts w:ascii="宋体" w:eastAsia="宋体" w:hAnsi="宋体" w:cs="宋体" w:hint="eastAsia"/>
          <w:sz w:val="24"/>
          <w:szCs w:val="24"/>
        </w:rPr>
        <w:t>评标委员会依据本章详细评审标准，对通过资格评审的投标人进行详细评审。评审因素得分以评标委员会的评分去高去低后的算数平均值；综合评分为各评审因素得分之和计算，结果四舍五入保留2为小数。</w:t>
      </w:r>
    </w:p>
    <w:p w:rsidR="00ED4FC2" w:rsidRPr="00ED4FC2" w:rsidRDefault="00ED4FC2" w:rsidP="00ED4FC2">
      <w:pPr>
        <w:wordWrap w:val="0"/>
        <w:adjustRightInd w:val="0"/>
        <w:snapToGrid w:val="0"/>
        <w:spacing w:line="312" w:lineRule="auto"/>
        <w:ind w:firstLineChars="200" w:firstLine="482"/>
        <w:rPr>
          <w:rFonts w:ascii="宋体" w:eastAsia="宋体" w:hAnsi="宋体" w:cs="宋体"/>
          <w:b/>
          <w:sz w:val="24"/>
          <w:szCs w:val="24"/>
        </w:rPr>
      </w:pPr>
      <w:r w:rsidRPr="00ED4FC2">
        <w:rPr>
          <w:rFonts w:ascii="宋体" w:eastAsia="宋体" w:hAnsi="宋体" w:cs="宋体" w:hint="eastAsia"/>
          <w:b/>
          <w:sz w:val="24"/>
          <w:szCs w:val="24"/>
        </w:rPr>
        <w:t>3.3投标文件的澄清和补正</w:t>
      </w:r>
    </w:p>
    <w:p w:rsidR="00ED4FC2" w:rsidRPr="00ED4FC2" w:rsidRDefault="00ED4FC2" w:rsidP="00ED4FC2">
      <w:pPr>
        <w:wordWrap w:val="0"/>
        <w:adjustRightInd w:val="0"/>
        <w:snapToGrid w:val="0"/>
        <w:spacing w:line="312" w:lineRule="auto"/>
        <w:ind w:firstLineChars="200" w:firstLine="480"/>
        <w:rPr>
          <w:rFonts w:ascii="宋体" w:eastAsia="宋体" w:hAnsi="宋体" w:cs="宋体"/>
          <w:sz w:val="24"/>
          <w:szCs w:val="24"/>
        </w:rPr>
      </w:pPr>
      <w:r w:rsidRPr="00ED4FC2">
        <w:rPr>
          <w:rFonts w:ascii="宋体" w:eastAsia="宋体" w:hAnsi="宋体" w:cs="宋体" w:hint="eastAsia"/>
          <w:sz w:val="24"/>
          <w:szCs w:val="24"/>
        </w:rPr>
        <w:t>3.3.1在评标过程中，评标委员会可以书面形式要求投标人对所提交投标文件中不明确的内容进行书面澄清或说明，或者对细微偏差进行补正。评标委员会不接受投标人主动提出的澄清、说明或补正。</w:t>
      </w:r>
    </w:p>
    <w:p w:rsidR="00ED4FC2" w:rsidRPr="00ED4FC2" w:rsidRDefault="00ED4FC2" w:rsidP="00ED4FC2">
      <w:pPr>
        <w:wordWrap w:val="0"/>
        <w:adjustRightInd w:val="0"/>
        <w:snapToGrid w:val="0"/>
        <w:spacing w:line="312" w:lineRule="auto"/>
        <w:ind w:firstLineChars="200" w:firstLine="480"/>
        <w:rPr>
          <w:rFonts w:ascii="宋体" w:eastAsia="宋体" w:hAnsi="宋体" w:cs="宋体"/>
          <w:sz w:val="24"/>
          <w:szCs w:val="24"/>
        </w:rPr>
      </w:pPr>
      <w:r w:rsidRPr="00ED4FC2">
        <w:rPr>
          <w:rFonts w:ascii="宋体" w:eastAsia="宋体" w:hAnsi="宋体" w:cs="宋体" w:hint="eastAsia"/>
          <w:sz w:val="24"/>
          <w:szCs w:val="24"/>
        </w:rPr>
        <w:t>3.3.2澄清、说明和补正不得改变投标文件的实质性内容。投标人的书面澄清、说明和补正属于投标文件的组成部分。</w:t>
      </w:r>
    </w:p>
    <w:p w:rsidR="00ED4FC2" w:rsidRPr="00ED4FC2" w:rsidRDefault="00ED4FC2" w:rsidP="00ED4FC2">
      <w:pPr>
        <w:wordWrap w:val="0"/>
        <w:adjustRightInd w:val="0"/>
        <w:snapToGrid w:val="0"/>
        <w:spacing w:line="312" w:lineRule="auto"/>
        <w:ind w:firstLineChars="200" w:firstLine="480"/>
        <w:rPr>
          <w:rFonts w:ascii="宋体" w:eastAsia="宋体" w:hAnsi="宋体" w:cs="宋体"/>
          <w:sz w:val="24"/>
          <w:szCs w:val="24"/>
        </w:rPr>
      </w:pPr>
      <w:r w:rsidRPr="00ED4FC2">
        <w:rPr>
          <w:rFonts w:ascii="宋体" w:eastAsia="宋体" w:hAnsi="宋体" w:cs="宋体" w:hint="eastAsia"/>
          <w:sz w:val="24"/>
          <w:szCs w:val="24"/>
        </w:rPr>
        <w:t>3.3.3评标委员会对投标人提交的澄清、说明或补正有疑问的，可以要求投标人进一步澄清、说明或补正，直至满足评标委员会的要求。</w:t>
      </w:r>
    </w:p>
    <w:p w:rsidR="00ED4FC2" w:rsidRPr="00ED4FC2" w:rsidRDefault="00ED4FC2" w:rsidP="00ED4FC2">
      <w:pPr>
        <w:wordWrap w:val="0"/>
        <w:adjustRightInd w:val="0"/>
        <w:snapToGrid w:val="0"/>
        <w:spacing w:line="312" w:lineRule="auto"/>
        <w:ind w:firstLineChars="200" w:firstLine="480"/>
        <w:rPr>
          <w:rFonts w:ascii="宋体" w:eastAsia="宋体" w:hAnsi="宋体" w:cs="宋体"/>
          <w:sz w:val="24"/>
          <w:szCs w:val="24"/>
        </w:rPr>
      </w:pPr>
      <w:r w:rsidRPr="00ED4FC2">
        <w:rPr>
          <w:rFonts w:ascii="宋体" w:eastAsia="宋体" w:hAnsi="宋体" w:cs="宋体" w:hint="eastAsia"/>
          <w:sz w:val="24"/>
          <w:szCs w:val="24"/>
        </w:rPr>
        <w:t>3.3.4凡超出招标文件规定的或给发包人带来未曾要求的利益的变化、偏差或其他因素在评标时不予考虑。</w:t>
      </w:r>
    </w:p>
    <w:p w:rsidR="00ED4FC2" w:rsidRPr="00ED4FC2" w:rsidRDefault="00ED4FC2" w:rsidP="00ED4FC2">
      <w:pPr>
        <w:wordWrap w:val="0"/>
        <w:adjustRightInd w:val="0"/>
        <w:snapToGrid w:val="0"/>
        <w:spacing w:line="312" w:lineRule="auto"/>
        <w:ind w:firstLineChars="200" w:firstLine="482"/>
        <w:rPr>
          <w:rFonts w:ascii="宋体" w:eastAsia="宋体" w:hAnsi="宋体" w:cs="宋体"/>
          <w:b/>
          <w:sz w:val="24"/>
          <w:szCs w:val="24"/>
        </w:rPr>
      </w:pPr>
      <w:r w:rsidRPr="00ED4FC2">
        <w:rPr>
          <w:rFonts w:ascii="宋体" w:eastAsia="宋体" w:hAnsi="宋体" w:cs="宋体" w:hint="eastAsia"/>
          <w:b/>
          <w:sz w:val="24"/>
          <w:szCs w:val="24"/>
        </w:rPr>
        <w:t>3.4推荐中标候选人</w:t>
      </w:r>
    </w:p>
    <w:p w:rsidR="00ED4FC2" w:rsidRPr="00ED4FC2" w:rsidRDefault="00ED4FC2" w:rsidP="00ED4FC2">
      <w:pPr>
        <w:wordWrap w:val="0"/>
        <w:adjustRightInd w:val="0"/>
        <w:snapToGrid w:val="0"/>
        <w:spacing w:line="312" w:lineRule="auto"/>
        <w:ind w:firstLineChars="200" w:firstLine="480"/>
        <w:rPr>
          <w:rFonts w:ascii="宋体" w:eastAsia="宋体" w:hAnsi="宋体" w:cs="宋体"/>
          <w:sz w:val="24"/>
          <w:szCs w:val="24"/>
        </w:rPr>
      </w:pPr>
      <w:r w:rsidRPr="00ED4FC2">
        <w:rPr>
          <w:rFonts w:ascii="宋体" w:eastAsia="宋体" w:hAnsi="宋体" w:cs="宋体" w:hint="eastAsia"/>
          <w:sz w:val="24"/>
          <w:szCs w:val="24"/>
        </w:rPr>
        <w:lastRenderedPageBreak/>
        <w:t>评标委员会按照投标人综合得分由高至低排序，综合得分最高的为第一中标候选人，综合得分次低的为第二中标候选人，以此类推，共推荐三名中标候选人。综合得分相同的投标文件，以报价较低的排前；报价均相同的投标文件，由评标委员会采用投票方式，确定投标人的排序，推荐前3名依次为第一中标候选人至第三中标候选人,并编制评标报告。</w:t>
      </w:r>
    </w:p>
    <w:p w:rsidR="00ED4FC2" w:rsidRPr="00ED4FC2" w:rsidRDefault="00ED4FC2" w:rsidP="00ED4FC2">
      <w:pPr>
        <w:wordWrap w:val="0"/>
        <w:adjustRightInd w:val="0"/>
        <w:snapToGrid w:val="0"/>
        <w:spacing w:line="312" w:lineRule="auto"/>
        <w:ind w:firstLine="482"/>
        <w:jc w:val="left"/>
        <w:rPr>
          <w:rFonts w:ascii="宋体" w:eastAsia="宋体" w:hAnsi="宋体" w:cs="Times New Roman"/>
          <w:b/>
          <w:sz w:val="24"/>
          <w:szCs w:val="24"/>
        </w:rPr>
      </w:pPr>
    </w:p>
    <w:p w:rsidR="00AF4DE0" w:rsidRDefault="00AF4DE0"/>
    <w:sectPr w:rsidR="00AF4DE0" w:rsidSect="00ED4FC2">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E17" w:rsidRDefault="000B0E17" w:rsidP="00ED4FC2">
      <w:r>
        <w:separator/>
      </w:r>
    </w:p>
  </w:endnote>
  <w:endnote w:type="continuationSeparator" w:id="0">
    <w:p w:rsidR="000B0E17" w:rsidRDefault="000B0E17" w:rsidP="00ED4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FC2" w:rsidRDefault="00ED4FC2">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FC2" w:rsidRDefault="00ED4FC2">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FC2" w:rsidRDefault="00ED4FC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E17" w:rsidRDefault="000B0E17" w:rsidP="00ED4FC2">
      <w:r>
        <w:separator/>
      </w:r>
    </w:p>
  </w:footnote>
  <w:footnote w:type="continuationSeparator" w:id="0">
    <w:p w:rsidR="000B0E17" w:rsidRDefault="000B0E17" w:rsidP="00ED4F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FC2" w:rsidRDefault="00ED4FC2">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FC2" w:rsidRPr="00ED4FC2" w:rsidRDefault="00ED4FC2" w:rsidP="00ED4FC2">
    <w:pPr>
      <w:pStyle w:val="a3"/>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FC2" w:rsidRDefault="00ED4FC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9986F8"/>
    <w:multiLevelType w:val="multilevel"/>
    <w:tmpl w:val="9DBA86D4"/>
    <w:lvl w:ilvl="0">
      <w:start w:val="1"/>
      <w:numFmt w:val="chineseCountingThousand"/>
      <w:pStyle w:val="1"/>
      <w:suff w:val="nothing"/>
      <w:lvlText w:val="第%1章  "/>
      <w:lvlJc w:val="left"/>
      <w:pPr>
        <w:ind w:left="0" w:firstLine="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isLgl/>
      <w:suff w:val="space"/>
      <w:lvlText w:val="%1.%2  "/>
      <w:lvlJc w:val="left"/>
      <w:pPr>
        <w:ind w:left="0" w:firstLine="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isLgl/>
      <w:suff w:val="space"/>
      <w:lvlText w:val="%1.%2.%3  "/>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isLgl/>
      <w:suff w:val="nothing"/>
      <w:lvlText w:val="%1.%2.%3.%4  "/>
      <w:lvlJc w:val="left"/>
      <w:pPr>
        <w:ind w:left="0" w:firstLine="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chineseCountingThousand"/>
      <w:suff w:val="nothing"/>
      <w:lvlText w:val="%5、"/>
      <w:lvlJc w:val="left"/>
      <w:pPr>
        <w:ind w:left="567" w:firstLine="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isLgl/>
      <w:lvlText w:val="%1.%2.%3.%4.%5.%6."/>
      <w:lvlJc w:val="left"/>
      <w:pPr>
        <w:ind w:left="0" w:firstLine="0"/>
      </w:pPr>
      <w:rPr>
        <w:rFonts w:hint="eastAsia"/>
      </w:rPr>
    </w:lvl>
    <w:lvl w:ilvl="6">
      <w:start w:val="1"/>
      <w:numFmt w:val="decimal"/>
      <w:isLgl/>
      <w:lvlText w:val="%1.%2.%3.%4.%5.%6.%7."/>
      <w:lvlJc w:val="left"/>
      <w:pPr>
        <w:ind w:left="0" w:firstLine="0"/>
      </w:pPr>
      <w:rPr>
        <w:rFonts w:hint="eastAsia"/>
      </w:rPr>
    </w:lvl>
    <w:lvl w:ilvl="7">
      <w:start w:val="1"/>
      <w:numFmt w:val="decimal"/>
      <w:isLgl/>
      <w:lvlText w:val="%1.%2.%3.%4.%5.%6.%7.%8."/>
      <w:lvlJc w:val="left"/>
      <w:pPr>
        <w:ind w:left="0" w:firstLine="0"/>
      </w:pPr>
      <w:rPr>
        <w:rFonts w:hint="eastAsia"/>
      </w:rPr>
    </w:lvl>
    <w:lvl w:ilvl="8">
      <w:start w:val="1"/>
      <w:numFmt w:val="decimal"/>
      <w:isLgl/>
      <w:lvlText w:val="%1.%2.%3.%4.%5.%6.%7.%8.%9."/>
      <w:lvlJc w:val="left"/>
      <w:pPr>
        <w:ind w:left="0" w:firstLine="0"/>
      </w:pPr>
      <w:rPr>
        <w:rFonts w:hint="eastAsia"/>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FC2"/>
    <w:rsid w:val="000638BF"/>
    <w:rsid w:val="000B0E17"/>
    <w:rsid w:val="002650AF"/>
    <w:rsid w:val="002F13CC"/>
    <w:rsid w:val="00343185"/>
    <w:rsid w:val="00354058"/>
    <w:rsid w:val="004B6865"/>
    <w:rsid w:val="00570C47"/>
    <w:rsid w:val="005C3FF1"/>
    <w:rsid w:val="00604AC0"/>
    <w:rsid w:val="006415D7"/>
    <w:rsid w:val="00662E9E"/>
    <w:rsid w:val="00793CD6"/>
    <w:rsid w:val="00836690"/>
    <w:rsid w:val="00971111"/>
    <w:rsid w:val="00AF4DE0"/>
    <w:rsid w:val="00AF5B2D"/>
    <w:rsid w:val="00B141E8"/>
    <w:rsid w:val="00B460F5"/>
    <w:rsid w:val="00B75EA7"/>
    <w:rsid w:val="00CA255D"/>
    <w:rsid w:val="00CC7D8B"/>
    <w:rsid w:val="00D21D27"/>
    <w:rsid w:val="00D409CD"/>
    <w:rsid w:val="00D40DAA"/>
    <w:rsid w:val="00DF7727"/>
    <w:rsid w:val="00E25470"/>
    <w:rsid w:val="00E34D12"/>
    <w:rsid w:val="00ED4FC2"/>
    <w:rsid w:val="00F72190"/>
    <w:rsid w:val="00F900F5"/>
    <w:rsid w:val="00FC3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764B0"/>
  <w15:chartTrackingRefBased/>
  <w15:docId w15:val="{31597045-23C1-4557-AE60-E367FB6BE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B141E8"/>
    <w:pPr>
      <w:pageBreakBefore/>
      <w:numPr>
        <w:numId w:val="5"/>
      </w:numPr>
      <w:adjustRightInd w:val="0"/>
      <w:snapToGrid w:val="0"/>
      <w:spacing w:afterLines="100" w:after="312" w:line="560" w:lineRule="exact"/>
      <w:jc w:val="center"/>
      <w:outlineLvl w:val="0"/>
    </w:pPr>
    <w:rPr>
      <w:rFonts w:ascii="宋体" w:eastAsia="宋体" w:hAnsi="宋体"/>
      <w:b/>
      <w:bCs/>
      <w:kern w:val="44"/>
      <w:sz w:val="44"/>
      <w:szCs w:val="44"/>
    </w:rPr>
  </w:style>
  <w:style w:type="paragraph" w:styleId="2">
    <w:name w:val="heading 2"/>
    <w:basedOn w:val="a"/>
    <w:next w:val="a"/>
    <w:link w:val="20"/>
    <w:qFormat/>
    <w:rsid w:val="00B141E8"/>
    <w:pPr>
      <w:keepNext/>
      <w:keepLines/>
      <w:numPr>
        <w:ilvl w:val="1"/>
        <w:numId w:val="5"/>
      </w:numPr>
      <w:autoSpaceDE w:val="0"/>
      <w:adjustRightInd w:val="0"/>
      <w:snapToGrid w:val="0"/>
      <w:spacing w:line="560" w:lineRule="exact"/>
      <w:jc w:val="left"/>
      <w:outlineLvl w:val="1"/>
    </w:pPr>
    <w:rPr>
      <w:rFonts w:eastAsia="黑体"/>
      <w:bCs/>
      <w:sz w:val="32"/>
      <w:szCs w:val="32"/>
    </w:rPr>
  </w:style>
  <w:style w:type="paragraph" w:styleId="3">
    <w:name w:val="heading 3"/>
    <w:basedOn w:val="4"/>
    <w:next w:val="a"/>
    <w:link w:val="30"/>
    <w:qFormat/>
    <w:rsid w:val="00B141E8"/>
    <w:pPr>
      <w:numPr>
        <w:ilvl w:val="2"/>
      </w:numPr>
      <w:outlineLvl w:val="2"/>
    </w:pPr>
    <w:rPr>
      <w:rFonts w:ascii="楷体_GB2312" w:eastAsia="楷体_GB2312"/>
      <w:sz w:val="32"/>
      <w:szCs w:val="32"/>
    </w:rPr>
  </w:style>
  <w:style w:type="paragraph" w:styleId="4">
    <w:name w:val="heading 4"/>
    <w:basedOn w:val="a"/>
    <w:next w:val="a"/>
    <w:link w:val="40"/>
    <w:qFormat/>
    <w:rsid w:val="00B141E8"/>
    <w:pPr>
      <w:keepNext/>
      <w:keepLines/>
      <w:numPr>
        <w:ilvl w:val="3"/>
        <w:numId w:val="5"/>
      </w:numPr>
      <w:adjustRightInd w:val="0"/>
      <w:snapToGrid w:val="0"/>
      <w:spacing w:line="560" w:lineRule="exact"/>
      <w:outlineLvl w:val="3"/>
    </w:pPr>
    <w:rPr>
      <w:color w:val="000000"/>
      <w14:scene3d>
        <w14:camera w14:prst="orthographicFront"/>
        <w14:lightRig w14:rig="threePt" w14:dir="t">
          <w14:rot w14:lat="0" w14:lon="0" w14:rev="0"/>
        </w14:lightRig>
      </w14:scene3d>
    </w:rPr>
  </w:style>
  <w:style w:type="paragraph" w:styleId="5">
    <w:name w:val="heading 5"/>
    <w:basedOn w:val="a"/>
    <w:next w:val="a"/>
    <w:link w:val="50"/>
    <w:uiPriority w:val="9"/>
    <w:qFormat/>
    <w:rsid w:val="00B141E8"/>
    <w:pPr>
      <w:keepNext/>
      <w:keepLines/>
      <w:spacing w:before="280" w:after="290" w:line="376" w:lineRule="auto"/>
      <w:ind w:left="1008" w:hanging="1008"/>
      <w:outlineLvl w:val="4"/>
    </w:pPr>
    <w:rPr>
      <w:rFonts w:ascii="仿宋_GB2312" w:hAnsi="仿宋_GB2312"/>
      <w:b/>
      <w:bCs/>
      <w:lang w:eastAsia="en-US"/>
    </w:rPr>
  </w:style>
  <w:style w:type="paragraph" w:styleId="6">
    <w:name w:val="heading 6"/>
    <w:basedOn w:val="a"/>
    <w:next w:val="a"/>
    <w:link w:val="60"/>
    <w:uiPriority w:val="9"/>
    <w:qFormat/>
    <w:rsid w:val="00B141E8"/>
    <w:pPr>
      <w:keepNext/>
      <w:keepLines/>
      <w:tabs>
        <w:tab w:val="left" w:pos="1152"/>
      </w:tabs>
      <w:adjustRightInd w:val="0"/>
      <w:spacing w:before="240" w:after="64" w:line="320" w:lineRule="atLeast"/>
      <w:ind w:left="1151" w:hanging="1151"/>
      <w:jc w:val="left"/>
      <w:textAlignment w:val="baseline"/>
      <w:outlineLvl w:val="5"/>
    </w:pPr>
    <w:rPr>
      <w:rFonts w:ascii="Arial" w:hAnsi="Arial"/>
      <w:szCs w:val="20"/>
      <w:lang w:eastAsia="en-US"/>
    </w:rPr>
  </w:style>
  <w:style w:type="paragraph" w:styleId="7">
    <w:name w:val="heading 7"/>
    <w:basedOn w:val="a"/>
    <w:next w:val="a"/>
    <w:link w:val="70"/>
    <w:uiPriority w:val="9"/>
    <w:qFormat/>
    <w:rsid w:val="00B141E8"/>
    <w:pPr>
      <w:keepNext/>
      <w:keepLines/>
      <w:tabs>
        <w:tab w:val="left" w:pos="1296"/>
      </w:tabs>
      <w:adjustRightInd w:val="0"/>
      <w:spacing w:before="240" w:after="64" w:line="320" w:lineRule="atLeast"/>
      <w:ind w:left="1296" w:hanging="1296"/>
      <w:jc w:val="left"/>
      <w:textAlignment w:val="baseline"/>
      <w:outlineLvl w:val="6"/>
    </w:pPr>
    <w:rPr>
      <w:rFonts w:ascii="Verdana" w:hAnsi="Verdana"/>
      <w:szCs w:val="20"/>
      <w:lang w:eastAsia="en-US"/>
    </w:rPr>
  </w:style>
  <w:style w:type="paragraph" w:styleId="8">
    <w:name w:val="heading 8"/>
    <w:basedOn w:val="a"/>
    <w:next w:val="a"/>
    <w:link w:val="80"/>
    <w:uiPriority w:val="9"/>
    <w:qFormat/>
    <w:rsid w:val="00B141E8"/>
    <w:pPr>
      <w:keepNext/>
      <w:keepLines/>
      <w:tabs>
        <w:tab w:val="left" w:pos="1440"/>
      </w:tabs>
      <w:adjustRightInd w:val="0"/>
      <w:spacing w:before="240" w:after="64" w:line="320" w:lineRule="atLeast"/>
      <w:ind w:left="1440" w:hanging="1440"/>
      <w:jc w:val="left"/>
      <w:textAlignment w:val="baseline"/>
      <w:outlineLvl w:val="7"/>
    </w:pPr>
    <w:rPr>
      <w:rFonts w:ascii="Arial" w:eastAsia="黑体" w:hAnsi="Arial"/>
      <w:szCs w:val="20"/>
      <w:lang w:eastAsia="en-US"/>
    </w:rPr>
  </w:style>
  <w:style w:type="paragraph" w:styleId="9">
    <w:name w:val="heading 9"/>
    <w:basedOn w:val="a"/>
    <w:next w:val="a"/>
    <w:link w:val="90"/>
    <w:uiPriority w:val="9"/>
    <w:qFormat/>
    <w:rsid w:val="00B141E8"/>
    <w:pPr>
      <w:keepNext/>
      <w:keepLines/>
      <w:tabs>
        <w:tab w:val="left" w:pos="1584"/>
      </w:tabs>
      <w:adjustRightInd w:val="0"/>
      <w:spacing w:before="240" w:after="64" w:line="320" w:lineRule="atLeast"/>
      <w:ind w:left="1583" w:hanging="1583"/>
      <w:jc w:val="left"/>
      <w:textAlignment w:val="baseline"/>
      <w:outlineLvl w:val="8"/>
    </w:pPr>
    <w:rPr>
      <w:rFonts w:ascii="Arial" w:eastAsia="黑体" w:hAnsi="Arial"/>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B141E8"/>
    <w:rPr>
      <w:rFonts w:ascii="宋体" w:eastAsia="宋体" w:hAnsi="宋体"/>
      <w:b/>
      <w:bCs/>
      <w:kern w:val="44"/>
      <w:sz w:val="44"/>
      <w:szCs w:val="44"/>
    </w:rPr>
  </w:style>
  <w:style w:type="character" w:customStyle="1" w:styleId="20">
    <w:name w:val="标题 2 字符"/>
    <w:link w:val="2"/>
    <w:qFormat/>
    <w:rsid w:val="00B141E8"/>
    <w:rPr>
      <w:rFonts w:eastAsia="黑体"/>
      <w:bCs/>
      <w:sz w:val="32"/>
      <w:szCs w:val="32"/>
    </w:rPr>
  </w:style>
  <w:style w:type="character" w:customStyle="1" w:styleId="40">
    <w:name w:val="标题 4 字符"/>
    <w:link w:val="4"/>
    <w:qFormat/>
    <w:rsid w:val="00B141E8"/>
    <w:rPr>
      <w:color w:val="000000"/>
      <w14:scene3d>
        <w14:camera w14:prst="orthographicFront"/>
        <w14:lightRig w14:rig="threePt" w14:dir="t">
          <w14:rot w14:lat="0" w14:lon="0" w14:rev="0"/>
        </w14:lightRig>
      </w14:scene3d>
    </w:rPr>
  </w:style>
  <w:style w:type="character" w:customStyle="1" w:styleId="30">
    <w:name w:val="标题 3 字符"/>
    <w:link w:val="3"/>
    <w:qFormat/>
    <w:locked/>
    <w:rsid w:val="00B141E8"/>
    <w:rPr>
      <w:rFonts w:ascii="楷体_GB2312" w:eastAsia="楷体_GB2312"/>
      <w:color w:val="000000"/>
      <w:sz w:val="32"/>
      <w:szCs w:val="32"/>
      <w14:scene3d>
        <w14:camera w14:prst="orthographicFront"/>
        <w14:lightRig w14:rig="threePt" w14:dir="t">
          <w14:rot w14:lat="0" w14:lon="0" w14:rev="0"/>
        </w14:lightRig>
      </w14:scene3d>
    </w:rPr>
  </w:style>
  <w:style w:type="character" w:customStyle="1" w:styleId="50">
    <w:name w:val="标题 5 字符"/>
    <w:link w:val="5"/>
    <w:uiPriority w:val="9"/>
    <w:qFormat/>
    <w:rsid w:val="00B141E8"/>
    <w:rPr>
      <w:rFonts w:ascii="仿宋_GB2312" w:hAnsi="仿宋_GB2312"/>
      <w:b/>
      <w:bCs/>
      <w:lang w:eastAsia="en-US"/>
    </w:rPr>
  </w:style>
  <w:style w:type="character" w:customStyle="1" w:styleId="60">
    <w:name w:val="标题 6 字符"/>
    <w:link w:val="6"/>
    <w:uiPriority w:val="9"/>
    <w:qFormat/>
    <w:rsid w:val="00B141E8"/>
    <w:rPr>
      <w:rFonts w:ascii="Arial" w:hAnsi="Arial"/>
      <w:szCs w:val="20"/>
      <w:lang w:eastAsia="en-US"/>
    </w:rPr>
  </w:style>
  <w:style w:type="character" w:customStyle="1" w:styleId="70">
    <w:name w:val="标题 7 字符"/>
    <w:link w:val="7"/>
    <w:uiPriority w:val="9"/>
    <w:qFormat/>
    <w:rsid w:val="00B141E8"/>
    <w:rPr>
      <w:rFonts w:ascii="Verdana" w:hAnsi="Verdana"/>
      <w:szCs w:val="20"/>
      <w:lang w:eastAsia="en-US"/>
    </w:rPr>
  </w:style>
  <w:style w:type="character" w:customStyle="1" w:styleId="80">
    <w:name w:val="标题 8 字符"/>
    <w:link w:val="8"/>
    <w:uiPriority w:val="9"/>
    <w:qFormat/>
    <w:rsid w:val="00B141E8"/>
    <w:rPr>
      <w:rFonts w:ascii="Arial" w:eastAsia="黑体" w:hAnsi="Arial"/>
      <w:szCs w:val="20"/>
      <w:lang w:eastAsia="en-US"/>
    </w:rPr>
  </w:style>
  <w:style w:type="character" w:customStyle="1" w:styleId="90">
    <w:name w:val="标题 9 字符"/>
    <w:link w:val="9"/>
    <w:uiPriority w:val="9"/>
    <w:qFormat/>
    <w:rsid w:val="00B141E8"/>
    <w:rPr>
      <w:rFonts w:ascii="Arial" w:eastAsia="黑体" w:hAnsi="Arial"/>
      <w:szCs w:val="20"/>
      <w:lang w:eastAsia="en-US"/>
    </w:rPr>
  </w:style>
  <w:style w:type="paragraph" w:customStyle="1" w:styleId="-">
    <w:name w:val="正文-表格"/>
    <w:basedOn w:val="a"/>
    <w:link w:val="-0"/>
    <w:rsid w:val="00354058"/>
  </w:style>
  <w:style w:type="character" w:customStyle="1" w:styleId="-0">
    <w:name w:val="正文-表格 字符"/>
    <w:basedOn w:val="a0"/>
    <w:link w:val="-"/>
    <w:rsid w:val="00354058"/>
  </w:style>
  <w:style w:type="paragraph" w:styleId="a3">
    <w:name w:val="header"/>
    <w:basedOn w:val="a"/>
    <w:link w:val="a4"/>
    <w:uiPriority w:val="99"/>
    <w:unhideWhenUsed/>
    <w:rsid w:val="00ED4FC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D4FC2"/>
    <w:rPr>
      <w:sz w:val="18"/>
      <w:szCs w:val="18"/>
    </w:rPr>
  </w:style>
  <w:style w:type="paragraph" w:styleId="a5">
    <w:name w:val="footer"/>
    <w:basedOn w:val="a"/>
    <w:link w:val="a6"/>
    <w:uiPriority w:val="99"/>
    <w:unhideWhenUsed/>
    <w:rsid w:val="00ED4FC2"/>
    <w:pPr>
      <w:tabs>
        <w:tab w:val="center" w:pos="4153"/>
        <w:tab w:val="right" w:pos="8306"/>
      </w:tabs>
      <w:snapToGrid w:val="0"/>
      <w:jc w:val="left"/>
    </w:pPr>
    <w:rPr>
      <w:sz w:val="18"/>
      <w:szCs w:val="18"/>
    </w:rPr>
  </w:style>
  <w:style w:type="character" w:customStyle="1" w:styleId="a6">
    <w:name w:val="页脚 字符"/>
    <w:basedOn w:val="a0"/>
    <w:link w:val="a5"/>
    <w:uiPriority w:val="99"/>
    <w:rsid w:val="00ED4F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345</Words>
  <Characters>1967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MAGAM</dc:creator>
  <cp:keywords/>
  <dc:description/>
  <cp:lastModifiedBy>MAGAM</cp:lastModifiedBy>
  <cp:revision>2</cp:revision>
  <dcterms:created xsi:type="dcterms:W3CDTF">2025-09-16T07:51:00Z</dcterms:created>
  <dcterms:modified xsi:type="dcterms:W3CDTF">2025-09-16T07:52:00Z</dcterms:modified>
</cp:coreProperties>
</file>